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8141" w14:textId="77777777" w:rsidR="009950DF" w:rsidRDefault="00BF3CCF">
      <w:pPr>
        <w:pStyle w:val="Tijeloteksta"/>
        <w:ind w:left="1854"/>
        <w:rPr>
          <w:sz w:val="20"/>
        </w:rPr>
      </w:pPr>
      <w:r>
        <w:rPr>
          <w:noProof/>
          <w:sz w:val="20"/>
        </w:rPr>
        <w:drawing>
          <wp:inline distT="0" distB="0" distL="0" distR="0" wp14:anchorId="1BA77421" wp14:editId="021EE6D7">
            <wp:extent cx="492262" cy="59197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62" cy="5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6FA9" w14:textId="77777777" w:rsidR="009950DF" w:rsidRDefault="00BF3CCF">
      <w:pPr>
        <w:pStyle w:val="Tijeloteksta"/>
        <w:spacing w:before="4"/>
        <w:ind w:right="6009" w:firstLine="1024"/>
      </w:pPr>
      <w:bookmarkStart w:id="0" w:name="REPUBLIKA_HRVATSKA"/>
      <w:bookmarkEnd w:id="0"/>
      <w:r>
        <w:rPr>
          <w:color w:val="000009"/>
        </w:rPr>
        <w:t>REPUBLIKA HRVATSKA</w:t>
      </w:r>
      <w:r>
        <w:rPr>
          <w:color w:val="000009"/>
          <w:spacing w:val="1"/>
        </w:rPr>
        <w:t xml:space="preserve"> </w:t>
      </w:r>
      <w:bookmarkStart w:id="1" w:name="OPĆINA_DEŽANOVAC"/>
      <w:bookmarkEnd w:id="1"/>
      <w:r>
        <w:rPr>
          <w:color w:val="000009"/>
        </w:rPr>
        <w:t>BJELOVARSKO-BILOGORSKA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ŽUPANIJA</w:t>
      </w:r>
    </w:p>
    <w:p w14:paraId="1E2E6017" w14:textId="77777777" w:rsidR="009950DF" w:rsidRDefault="00BF3CCF">
      <w:pPr>
        <w:pStyle w:val="Naslov2"/>
        <w:ind w:left="1269" w:right="6721" w:hanging="61"/>
      </w:pPr>
      <w:r>
        <w:rPr>
          <w:color w:val="000009"/>
        </w:rPr>
        <w:t>OPĆINA DEŽANOVAC</w:t>
      </w:r>
      <w:r>
        <w:rPr>
          <w:color w:val="000009"/>
          <w:spacing w:val="-52"/>
        </w:rPr>
        <w:t xml:space="preserve"> </w:t>
      </w:r>
      <w:bookmarkStart w:id="2" w:name="OPĆINSKO_VIJEĆE"/>
      <w:bookmarkEnd w:id="2"/>
      <w:r>
        <w:rPr>
          <w:color w:val="000009"/>
        </w:rPr>
        <w:t>OPĆINSKO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VIJEĆE</w:t>
      </w:r>
    </w:p>
    <w:p w14:paraId="742926F2" w14:textId="77777777" w:rsidR="009950DF" w:rsidRDefault="00BF3CCF">
      <w:pPr>
        <w:pStyle w:val="Tijeloteksta"/>
        <w:ind w:left="114"/>
        <w:rPr>
          <w:sz w:val="20"/>
        </w:rPr>
      </w:pPr>
      <w:r>
        <w:rPr>
          <w:noProof/>
          <w:sz w:val="20"/>
        </w:rPr>
        <w:drawing>
          <wp:inline distT="0" distB="0" distL="0" distR="0" wp14:anchorId="768A7934" wp14:editId="3958BB73">
            <wp:extent cx="284810" cy="3544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10" cy="3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814E3" w14:textId="60834E53" w:rsidR="009950DF" w:rsidRDefault="00BF3CCF">
      <w:pPr>
        <w:pStyle w:val="Tijeloteksta"/>
        <w:ind w:left="113" w:right="7829" w:hanging="1"/>
      </w:pPr>
      <w:r>
        <w:t>KLASA: 400-0</w:t>
      </w:r>
      <w:r w:rsidR="00C34C22">
        <w:t>7</w:t>
      </w:r>
      <w:r>
        <w:t>/2</w:t>
      </w:r>
      <w:r w:rsidR="00C34C22">
        <w:t>4</w:t>
      </w:r>
      <w:r>
        <w:t>-01/0</w:t>
      </w:r>
      <w:r w:rsidR="00E42F4A">
        <w:t>1</w:t>
      </w:r>
      <w:r>
        <w:rPr>
          <w:spacing w:val="-52"/>
        </w:rPr>
        <w:t xml:space="preserve"> </w:t>
      </w:r>
      <w:r>
        <w:t>URBROJ:</w:t>
      </w:r>
      <w:r>
        <w:rPr>
          <w:spacing w:val="-2"/>
        </w:rPr>
        <w:t xml:space="preserve"> </w:t>
      </w:r>
      <w:r>
        <w:t>2103-7-1-2</w:t>
      </w:r>
      <w:r w:rsidR="00C34C22">
        <w:t>6</w:t>
      </w:r>
      <w:r>
        <w:t>-</w:t>
      </w:r>
      <w:r w:rsidR="00E42F4A">
        <w:t>4</w:t>
      </w:r>
    </w:p>
    <w:p w14:paraId="3BD635C9" w14:textId="2FC930BC" w:rsidR="009950DF" w:rsidRDefault="00BF3CCF">
      <w:pPr>
        <w:pStyle w:val="Tijeloteksta"/>
        <w:ind w:left="113"/>
      </w:pPr>
      <w:r>
        <w:t>Dežanovac,</w:t>
      </w:r>
      <w:r>
        <w:rPr>
          <w:spacing w:val="-2"/>
        </w:rPr>
        <w:t xml:space="preserve"> </w:t>
      </w:r>
      <w:r w:rsidR="00C6790F">
        <w:rPr>
          <w:spacing w:val="-2"/>
        </w:rPr>
        <w:t>22</w:t>
      </w:r>
      <w:r w:rsidR="00F017A7">
        <w:rPr>
          <w:spacing w:val="-2"/>
        </w:rPr>
        <w:t xml:space="preserve">. </w:t>
      </w:r>
      <w:r w:rsidR="00C6790F">
        <w:rPr>
          <w:spacing w:val="-2"/>
        </w:rPr>
        <w:t>svib</w:t>
      </w:r>
      <w:r w:rsidR="00F017A7">
        <w:rPr>
          <w:spacing w:val="-2"/>
        </w:rPr>
        <w:t xml:space="preserve">nja </w:t>
      </w:r>
      <w:r>
        <w:t>202</w:t>
      </w:r>
      <w:r w:rsidR="00CE5B5D">
        <w:t>6</w:t>
      </w:r>
      <w:r>
        <w:t>.g.</w:t>
      </w:r>
    </w:p>
    <w:p w14:paraId="23DA3A63" w14:textId="77777777" w:rsidR="009950DF" w:rsidRDefault="009950DF">
      <w:pPr>
        <w:pStyle w:val="Tijeloteksta"/>
        <w:spacing w:before="11"/>
        <w:ind w:left="0"/>
        <w:rPr>
          <w:sz w:val="23"/>
        </w:rPr>
      </w:pPr>
    </w:p>
    <w:p w14:paraId="05FE9DB1" w14:textId="5045A1DE" w:rsidR="009950DF" w:rsidRDefault="00BF3CCF">
      <w:pPr>
        <w:pStyle w:val="Tijeloteksta"/>
        <w:ind w:right="530" w:firstLine="720"/>
        <w:jc w:val="both"/>
      </w:pPr>
      <w:r>
        <w:rPr>
          <w:color w:val="000009"/>
        </w:rPr>
        <w:t xml:space="preserve">Na temelju članka </w:t>
      </w:r>
      <w:r w:rsidR="004B4E13">
        <w:rPr>
          <w:color w:val="000009"/>
        </w:rPr>
        <w:t>71.</w:t>
      </w:r>
      <w:r>
        <w:rPr>
          <w:color w:val="000009"/>
        </w:rPr>
        <w:t xml:space="preserve"> Zakona o komunalnom gospodarstvu („Narodne novine“ </w:t>
      </w:r>
      <w:r>
        <w:t>broj 68/18,</w:t>
      </w:r>
      <w:r>
        <w:rPr>
          <w:spacing w:val="1"/>
        </w:rPr>
        <w:t xml:space="preserve"> </w:t>
      </w:r>
      <w:r>
        <w:t>110/18 i 32/20</w:t>
      </w:r>
      <w:r w:rsidR="00DA57F7">
        <w:t>)</w:t>
      </w:r>
      <w:r>
        <w:t xml:space="preserve"> </w:t>
      </w:r>
      <w:r>
        <w:rPr>
          <w:color w:val="000009"/>
        </w:rPr>
        <w:t>i članka 31. Statuta Općine Dežanovac („Službeni glasnik Općine Dežanovac“ br. 8/21</w:t>
      </w:r>
      <w:r w:rsidR="00075467">
        <w:rPr>
          <w:color w:val="000009"/>
        </w:rPr>
        <w:t>, 2/24 i 5/24</w:t>
      </w:r>
      <w:r>
        <w:rPr>
          <w:color w:val="000009"/>
        </w:rPr>
        <w:t>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Općinsko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vijeće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Općine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Dežanovac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svojoj</w:t>
      </w:r>
      <w:r>
        <w:rPr>
          <w:color w:val="000009"/>
          <w:spacing w:val="1"/>
        </w:rPr>
        <w:t xml:space="preserve"> </w:t>
      </w:r>
      <w:r w:rsidR="00CE5B5D">
        <w:rPr>
          <w:color w:val="000009"/>
        </w:rPr>
        <w:t>7</w:t>
      </w:r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sjednici održanoj</w:t>
      </w:r>
      <w:r w:rsidR="00F017A7">
        <w:rPr>
          <w:color w:val="000009"/>
        </w:rPr>
        <w:t xml:space="preserve"> </w:t>
      </w:r>
      <w:r w:rsidR="00C6790F">
        <w:rPr>
          <w:color w:val="000009"/>
        </w:rPr>
        <w:t>22</w:t>
      </w:r>
      <w:r w:rsidR="00F017A7">
        <w:rPr>
          <w:color w:val="000009"/>
        </w:rPr>
        <w:t xml:space="preserve">. </w:t>
      </w:r>
      <w:r w:rsidR="00C6790F">
        <w:rPr>
          <w:color w:val="000009"/>
        </w:rPr>
        <w:t>svib</w:t>
      </w:r>
      <w:r w:rsidR="00F017A7">
        <w:rPr>
          <w:color w:val="000009"/>
        </w:rPr>
        <w:t>nja</w:t>
      </w:r>
      <w:r>
        <w:rPr>
          <w:color w:val="000009"/>
        </w:rPr>
        <w:t xml:space="preserve"> 202</w:t>
      </w:r>
      <w:r w:rsidR="00CE5B5D">
        <w:rPr>
          <w:color w:val="000009"/>
        </w:rPr>
        <w:t>6</w:t>
      </w:r>
      <w:r>
        <w:rPr>
          <w:color w:val="000009"/>
        </w:rPr>
        <w:t>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godine donosi</w:t>
      </w:r>
    </w:p>
    <w:p w14:paraId="13F44BD9" w14:textId="77777777" w:rsidR="009950DF" w:rsidRDefault="009950DF">
      <w:pPr>
        <w:pStyle w:val="Tijeloteksta"/>
        <w:spacing w:before="11"/>
        <w:ind w:left="0"/>
        <w:rPr>
          <w:sz w:val="23"/>
        </w:rPr>
      </w:pPr>
    </w:p>
    <w:p w14:paraId="640447EB" w14:textId="77777777" w:rsidR="00FA05B7" w:rsidRDefault="005C16A7" w:rsidP="005C16A7">
      <w:pPr>
        <w:pStyle w:val="Naslov2"/>
        <w:ind w:left="0" w:right="84"/>
        <w:jc w:val="center"/>
        <w:rPr>
          <w:color w:val="000009"/>
        </w:rPr>
      </w:pPr>
      <w:r>
        <w:rPr>
          <w:color w:val="000009"/>
        </w:rPr>
        <w:t xml:space="preserve">   IZVRŠENJE PROGRAMA IZGRADNJE OBJEKATA I UREĐAJA </w:t>
      </w:r>
    </w:p>
    <w:p w14:paraId="1E0E6E52" w14:textId="1C20A99F" w:rsidR="009950DF" w:rsidRDefault="005C16A7" w:rsidP="005C16A7">
      <w:pPr>
        <w:pStyle w:val="Naslov2"/>
        <w:ind w:left="0" w:right="84"/>
        <w:jc w:val="center"/>
      </w:pPr>
      <w:r>
        <w:rPr>
          <w:color w:val="000009"/>
        </w:rPr>
        <w:t>KOMUNALNE INFRASTRUKTURE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</w:t>
      </w:r>
      <w:r w:rsidR="00CE5B5D">
        <w:rPr>
          <w:color w:val="000009"/>
        </w:rPr>
        <w:t>5</w:t>
      </w:r>
      <w:r>
        <w:rPr>
          <w:color w:val="000009"/>
        </w:rPr>
        <w:t>.</w:t>
      </w:r>
      <w:r w:rsidR="00DA57F7">
        <w:rPr>
          <w:color w:val="000009"/>
        </w:rPr>
        <w:t xml:space="preserve"> </w:t>
      </w:r>
      <w:r>
        <w:rPr>
          <w:color w:val="000009"/>
        </w:rPr>
        <w:t>GODINU</w:t>
      </w:r>
    </w:p>
    <w:p w14:paraId="2AAAF2E4" w14:textId="77777777" w:rsidR="009950DF" w:rsidRDefault="009950DF">
      <w:pPr>
        <w:pStyle w:val="Tijeloteksta"/>
        <w:ind w:left="0"/>
        <w:rPr>
          <w:b/>
          <w:sz w:val="24"/>
        </w:rPr>
      </w:pPr>
    </w:p>
    <w:p w14:paraId="7B34EA05" w14:textId="77777777" w:rsidR="009950DF" w:rsidRDefault="00BF3CCF">
      <w:pPr>
        <w:spacing w:line="252" w:lineRule="exact"/>
        <w:ind w:left="4478"/>
        <w:jc w:val="both"/>
        <w:rPr>
          <w:b/>
        </w:rPr>
      </w:pPr>
      <w:r>
        <w:rPr>
          <w:b/>
          <w:color w:val="000009"/>
        </w:rPr>
        <w:t>Članak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1.</w:t>
      </w:r>
    </w:p>
    <w:p w14:paraId="0721105F" w14:textId="4C26A576" w:rsidR="009950DF" w:rsidRDefault="009950DF">
      <w:pPr>
        <w:pStyle w:val="Naslov2"/>
        <w:spacing w:line="252" w:lineRule="exact"/>
        <w:ind w:left="4478"/>
      </w:pPr>
    </w:p>
    <w:p w14:paraId="1A7DCC6E" w14:textId="77777777" w:rsidR="009950DF" w:rsidRDefault="00BF3CCF" w:rsidP="00C34C22">
      <w:pPr>
        <w:pStyle w:val="Tijeloteksta"/>
        <w:spacing w:line="252" w:lineRule="exact"/>
        <w:ind w:firstLine="608"/>
      </w:pPr>
      <w:r>
        <w:rPr>
          <w:color w:val="000009"/>
        </w:rPr>
        <w:t>Program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građenja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komunalne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infrastrukture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obuhvaća:</w:t>
      </w:r>
    </w:p>
    <w:p w14:paraId="6718491D" w14:textId="77777777" w:rsidR="009950DF" w:rsidRDefault="00BF3CCF">
      <w:pPr>
        <w:pStyle w:val="Odlomakpopisa"/>
        <w:numPr>
          <w:ilvl w:val="0"/>
          <w:numId w:val="1"/>
        </w:numPr>
        <w:tabs>
          <w:tab w:val="left" w:pos="1181"/>
        </w:tabs>
        <w:spacing w:before="2" w:line="240" w:lineRule="auto"/>
        <w:ind w:right="531"/>
      </w:pPr>
      <w:r>
        <w:rPr>
          <w:color w:val="000009"/>
        </w:rPr>
        <w:t>građevine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komunalne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infrastrukture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koje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graditi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radi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uređenja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neuređenih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dijelova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građevinskog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područja</w:t>
      </w:r>
    </w:p>
    <w:p w14:paraId="29B9BD5F" w14:textId="77777777" w:rsidR="009950DF" w:rsidRDefault="00BF3CCF">
      <w:pPr>
        <w:pStyle w:val="Odlomakpopisa"/>
        <w:numPr>
          <w:ilvl w:val="0"/>
          <w:numId w:val="1"/>
        </w:numPr>
        <w:tabs>
          <w:tab w:val="left" w:pos="1181"/>
        </w:tabs>
        <w:spacing w:line="240" w:lineRule="auto"/>
        <w:ind w:right="531"/>
      </w:pPr>
      <w:r>
        <w:rPr>
          <w:color w:val="000009"/>
        </w:rPr>
        <w:t>građevine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komunalne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infrastrukture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koje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graditi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uređenim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dijelovima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građevinskog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područja</w:t>
      </w:r>
    </w:p>
    <w:p w14:paraId="55A2A533" w14:textId="77777777" w:rsidR="009950DF" w:rsidRDefault="00BF3CCF">
      <w:pPr>
        <w:pStyle w:val="Odlomakpopisa"/>
        <w:numPr>
          <w:ilvl w:val="0"/>
          <w:numId w:val="1"/>
        </w:numPr>
        <w:tabs>
          <w:tab w:val="left" w:pos="1181"/>
        </w:tabs>
        <w:ind w:hanging="361"/>
      </w:pPr>
      <w:r>
        <w:rPr>
          <w:color w:val="000009"/>
        </w:rPr>
        <w:t>građevine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komunalne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infrastrukture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graditi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izvan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građevinskog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područja</w:t>
      </w:r>
    </w:p>
    <w:p w14:paraId="5BA87E80" w14:textId="77777777" w:rsidR="009950DF" w:rsidRDefault="00BF3CCF">
      <w:pPr>
        <w:pStyle w:val="Odlomakpopisa"/>
        <w:numPr>
          <w:ilvl w:val="0"/>
          <w:numId w:val="1"/>
        </w:numPr>
        <w:tabs>
          <w:tab w:val="left" w:pos="1181"/>
        </w:tabs>
        <w:ind w:hanging="361"/>
      </w:pPr>
      <w:r>
        <w:rPr>
          <w:color w:val="000009"/>
        </w:rPr>
        <w:t>postojeće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građevine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komunalne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infrastrukture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koje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rekonstruirati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 način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rekonstrukcije</w:t>
      </w:r>
    </w:p>
    <w:p w14:paraId="6A09E0B2" w14:textId="77777777" w:rsidR="009950DF" w:rsidRDefault="00BF3CCF">
      <w:pPr>
        <w:pStyle w:val="Odlomakpopisa"/>
        <w:numPr>
          <w:ilvl w:val="0"/>
          <w:numId w:val="1"/>
        </w:numPr>
        <w:tabs>
          <w:tab w:val="left" w:pos="1181"/>
        </w:tabs>
        <w:ind w:hanging="361"/>
      </w:pPr>
      <w:r>
        <w:rPr>
          <w:color w:val="000009"/>
        </w:rPr>
        <w:t>građevine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komunalne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infrastrukture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koje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će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uklanjati</w:t>
      </w:r>
    </w:p>
    <w:p w14:paraId="350F7AC2" w14:textId="77777777" w:rsidR="007D1BD5" w:rsidRDefault="007D1BD5" w:rsidP="00DA57F7">
      <w:pPr>
        <w:pStyle w:val="Tijeloteksta"/>
        <w:spacing w:before="1"/>
        <w:ind w:left="720"/>
      </w:pPr>
      <w:r>
        <w:t xml:space="preserve">  </w:t>
      </w:r>
    </w:p>
    <w:p w14:paraId="48CFDF32" w14:textId="2860B37A" w:rsidR="00DA57F7" w:rsidRDefault="007D1BD5" w:rsidP="00C34C22">
      <w:pPr>
        <w:pStyle w:val="Tijeloteksta"/>
        <w:spacing w:before="1"/>
        <w:ind w:left="720"/>
      </w:pPr>
      <w:r>
        <w:t xml:space="preserve"> </w:t>
      </w:r>
      <w:r w:rsidR="00DA57F7">
        <w:t>U nastavku slijedi izvršenje programa za 202</w:t>
      </w:r>
      <w:r w:rsidR="00CE5B5D">
        <w:t>5</w:t>
      </w:r>
      <w:r w:rsidR="00DA57F7">
        <w:t>.g.:</w:t>
      </w:r>
    </w:p>
    <w:p w14:paraId="358E0917" w14:textId="77777777" w:rsidR="00C34C22" w:rsidRDefault="00C34C22" w:rsidP="00C34C22">
      <w:pPr>
        <w:pStyle w:val="Tijeloteksta"/>
        <w:spacing w:before="1"/>
        <w:ind w:left="720"/>
      </w:pPr>
    </w:p>
    <w:p w14:paraId="47508FDB" w14:textId="77777777" w:rsidR="00FA05B7" w:rsidRDefault="00FA05B7" w:rsidP="00DA57F7">
      <w:pPr>
        <w:pStyle w:val="Tijeloteksta"/>
        <w:spacing w:before="1"/>
        <w:ind w:left="720"/>
      </w:pPr>
    </w:p>
    <w:p w14:paraId="042A2166" w14:textId="403F3CDC" w:rsidR="009950DF" w:rsidRDefault="00DA57F7">
      <w:pPr>
        <w:pStyle w:val="Naslov2"/>
        <w:spacing w:before="1"/>
      </w:pPr>
      <w:r>
        <w:rPr>
          <w:u w:val="thick"/>
        </w:rPr>
        <w:t>Rekonstrukcija javne rasvjete</w:t>
      </w:r>
    </w:p>
    <w:p w14:paraId="5F4FFCFA" w14:textId="5041937C" w:rsidR="009950DF" w:rsidRDefault="00DA0CA6" w:rsidP="00DA0CA6">
      <w:pPr>
        <w:pStyle w:val="Tijeloteksta"/>
        <w:spacing w:before="1"/>
        <w:ind w:right="5895"/>
      </w:pPr>
      <w:r>
        <w:t>Planirana sredstva za 202</w:t>
      </w:r>
      <w:r w:rsidR="00CE5B5D">
        <w:t>5</w:t>
      </w:r>
      <w:r>
        <w:t>.g. :</w:t>
      </w:r>
      <w:r w:rsidR="00DA57F7">
        <w:t xml:space="preserve"> </w:t>
      </w:r>
      <w:r w:rsidR="00CE5B5D">
        <w:t>11</w:t>
      </w:r>
      <w:r w:rsidR="00DA57F7">
        <w:t>.</w:t>
      </w:r>
      <w:r w:rsidR="00CE5B5D">
        <w:t>5</w:t>
      </w:r>
      <w:r w:rsidR="00DA57F7">
        <w:t>00,00 EUR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Ostvarena</w:t>
      </w:r>
      <w:r>
        <w:rPr>
          <w:spacing w:val="-2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</w:t>
      </w:r>
      <w:r w:rsidR="00CE5B5D">
        <w:t>5</w:t>
      </w:r>
      <w:r>
        <w:t>.g:</w:t>
      </w:r>
      <w:r>
        <w:rPr>
          <w:spacing w:val="-1"/>
        </w:rPr>
        <w:t xml:space="preserve"> </w:t>
      </w:r>
      <w:r w:rsidR="00CE5B5D">
        <w:rPr>
          <w:spacing w:val="-1"/>
        </w:rPr>
        <w:t>11.301,06</w:t>
      </w:r>
      <w:r w:rsidR="00DA57F7">
        <w:rPr>
          <w:spacing w:val="-1"/>
        </w:rPr>
        <w:t xml:space="preserve"> EUR</w:t>
      </w:r>
    </w:p>
    <w:p w14:paraId="1AA8E222" w14:textId="77777777" w:rsidR="009950DF" w:rsidRDefault="009950DF">
      <w:pPr>
        <w:pStyle w:val="Tijeloteksta"/>
        <w:spacing w:before="11"/>
        <w:ind w:left="0"/>
        <w:rPr>
          <w:sz w:val="21"/>
        </w:rPr>
      </w:pPr>
    </w:p>
    <w:p w14:paraId="7C8BBC5B" w14:textId="092E615B" w:rsidR="000730A0" w:rsidRDefault="000730A0" w:rsidP="009C08C6">
      <w:pPr>
        <w:pStyle w:val="Tijeloteksta"/>
        <w:spacing w:before="11"/>
        <w:ind w:left="142" w:hanging="30"/>
        <w:rPr>
          <w:lang w:eastAsia="hr-HR"/>
        </w:rPr>
      </w:pPr>
      <w:r w:rsidRPr="000730A0">
        <w:rPr>
          <w:lang w:eastAsia="hr-HR"/>
        </w:rPr>
        <w:t xml:space="preserve">U izvještajnom razdoblju </w:t>
      </w:r>
      <w:r w:rsidR="00CE5B5D" w:rsidRPr="00CE5B5D">
        <w:rPr>
          <w:lang w:eastAsia="hr-HR"/>
        </w:rPr>
        <w:t xml:space="preserve">utrošeno je 11.301,06 EUR. Navedena sredstva su utrošena za nabavu 65 komada novih svjetiljki vanjskih </w:t>
      </w:r>
      <w:proofErr w:type="spellStart"/>
      <w:r w:rsidR="00CE5B5D" w:rsidRPr="00CE5B5D">
        <w:rPr>
          <w:lang w:eastAsia="hr-HR"/>
        </w:rPr>
        <w:t>Talos</w:t>
      </w:r>
      <w:proofErr w:type="spellEnd"/>
      <w:r w:rsidR="00CE5B5D" w:rsidRPr="00CE5B5D">
        <w:rPr>
          <w:lang w:eastAsia="hr-HR"/>
        </w:rPr>
        <w:t xml:space="preserve"> M 16D600 M223 cl1. </w:t>
      </w:r>
      <w:proofErr w:type="spellStart"/>
      <w:r w:rsidR="00CE5B5D" w:rsidRPr="00CE5B5D">
        <w:rPr>
          <w:lang w:eastAsia="hr-HR"/>
        </w:rPr>
        <w:t>cable</w:t>
      </w:r>
      <w:proofErr w:type="spellEnd"/>
      <w:r w:rsidR="00CE5B5D" w:rsidRPr="00CE5B5D">
        <w:rPr>
          <w:lang w:eastAsia="hr-HR"/>
        </w:rPr>
        <w:t xml:space="preserve"> 2mt.</w:t>
      </w:r>
    </w:p>
    <w:p w14:paraId="26470391" w14:textId="77777777" w:rsidR="00CE5B5D" w:rsidRDefault="00CE5B5D" w:rsidP="009C08C6">
      <w:pPr>
        <w:pStyle w:val="Tijeloteksta"/>
        <w:spacing w:before="11"/>
        <w:ind w:left="142" w:hanging="30"/>
        <w:rPr>
          <w:lang w:eastAsia="hr-HR"/>
        </w:rPr>
      </w:pPr>
    </w:p>
    <w:p w14:paraId="7363A85B" w14:textId="77777777" w:rsidR="00CE5B5D" w:rsidRPr="00CE5B5D" w:rsidRDefault="00CE5B5D" w:rsidP="00CE5B5D">
      <w:pPr>
        <w:pStyle w:val="Tijeloteksta"/>
        <w:spacing w:before="11"/>
        <w:ind w:left="142"/>
        <w:rPr>
          <w:lang w:eastAsia="hr-HR"/>
        </w:rPr>
      </w:pPr>
      <w:r w:rsidRPr="00CE5B5D">
        <w:rPr>
          <w:lang w:eastAsia="hr-HR"/>
        </w:rPr>
        <w:t>Sredstva utrošena za rekonstrukciju javne rasvjete financirana su iz izvora 110 – opći prihodi i primici, u cjelokupnom iznosu.</w:t>
      </w:r>
    </w:p>
    <w:p w14:paraId="6DA5E12B" w14:textId="77777777" w:rsidR="00FA05B7" w:rsidRDefault="00FA05B7">
      <w:pPr>
        <w:pStyle w:val="Tijeloteksta"/>
        <w:spacing w:before="11"/>
        <w:ind w:left="0"/>
        <w:rPr>
          <w:sz w:val="23"/>
        </w:rPr>
      </w:pPr>
    </w:p>
    <w:p w14:paraId="6251B019" w14:textId="0E75BA19" w:rsidR="009950DF" w:rsidRDefault="00CE5B5D">
      <w:pPr>
        <w:pStyle w:val="Naslov2"/>
      </w:pPr>
      <w:r>
        <w:rPr>
          <w:color w:val="000009"/>
          <w:u w:val="thick" w:color="000009"/>
        </w:rPr>
        <w:t>Mrtvačnica Golubinjak (Pravoslavno groblje)</w:t>
      </w:r>
    </w:p>
    <w:p w14:paraId="72DD9D86" w14:textId="6CE826B0" w:rsidR="009950DF" w:rsidRDefault="00BF3CCF">
      <w:pPr>
        <w:pStyle w:val="Tijeloteksta"/>
        <w:spacing w:before="2"/>
        <w:rPr>
          <w:color w:val="000009"/>
        </w:rPr>
      </w:pPr>
      <w:r>
        <w:rPr>
          <w:color w:val="000009"/>
        </w:rPr>
        <w:t>Planirana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sredstva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 202</w:t>
      </w:r>
      <w:r w:rsidR="00CE5B5D">
        <w:rPr>
          <w:color w:val="000009"/>
        </w:rPr>
        <w:t>5</w:t>
      </w:r>
      <w:r>
        <w:rPr>
          <w:color w:val="000009"/>
        </w:rPr>
        <w:t xml:space="preserve">.g: </w:t>
      </w:r>
      <w:r w:rsidR="008C58D2">
        <w:rPr>
          <w:color w:val="000009"/>
        </w:rPr>
        <w:t>0,00 EUR</w:t>
      </w:r>
    </w:p>
    <w:p w14:paraId="3B98170D" w14:textId="78D60853" w:rsidR="008A1E95" w:rsidRDefault="008A1E95">
      <w:pPr>
        <w:pStyle w:val="Tijeloteksta"/>
        <w:spacing w:before="2"/>
      </w:pPr>
      <w:r>
        <w:rPr>
          <w:color w:val="000009"/>
        </w:rPr>
        <w:t>Ostvarena sredstva u 202</w:t>
      </w:r>
      <w:r w:rsidR="00CE5B5D">
        <w:rPr>
          <w:color w:val="000009"/>
        </w:rPr>
        <w:t>5</w:t>
      </w:r>
      <w:r>
        <w:rPr>
          <w:color w:val="000009"/>
        </w:rPr>
        <w:t xml:space="preserve">.g.: </w:t>
      </w:r>
      <w:r w:rsidR="008C58D2">
        <w:rPr>
          <w:color w:val="000009"/>
        </w:rPr>
        <w:t>1.</w:t>
      </w:r>
      <w:r w:rsidR="00CE5B5D">
        <w:rPr>
          <w:color w:val="000009"/>
        </w:rPr>
        <w:t>030,29</w:t>
      </w:r>
      <w:r w:rsidR="008C58D2">
        <w:rPr>
          <w:color w:val="000009"/>
        </w:rPr>
        <w:t xml:space="preserve"> EUR</w:t>
      </w:r>
    </w:p>
    <w:p w14:paraId="3AF113D8" w14:textId="77777777" w:rsidR="009950DF" w:rsidRDefault="009950DF">
      <w:pPr>
        <w:pStyle w:val="Tijeloteksta"/>
        <w:ind w:left="0"/>
      </w:pPr>
    </w:p>
    <w:p w14:paraId="77B0444D" w14:textId="4934B81E" w:rsidR="009C08C6" w:rsidRDefault="00CE5B5D" w:rsidP="009326B1">
      <w:pPr>
        <w:pStyle w:val="Zaglavlje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U izvještajnom razdoblju utrošeno je 1.030,29 EUR. Navedena sredstva utrošena su za plaćanje naknade za priključenje električne energije na mrtvačnicu Golubinjak (Pravoslavno groblje)</w:t>
      </w:r>
      <w:r w:rsidR="00A11E39">
        <w:rPr>
          <w:sz w:val="22"/>
          <w:szCs w:val="22"/>
        </w:rPr>
        <w:t>. Do odstupanja je došlo zbog naknadno dostavljenog računa od strane tvrtke HEP ODS d.o.o..</w:t>
      </w:r>
    </w:p>
    <w:p w14:paraId="1CFA4FD8" w14:textId="7942B93E" w:rsidR="009950DF" w:rsidRDefault="009950DF" w:rsidP="00D63DA5">
      <w:pPr>
        <w:pStyle w:val="Tijeloteksta"/>
        <w:ind w:right="529"/>
        <w:jc w:val="both"/>
      </w:pPr>
    </w:p>
    <w:p w14:paraId="3016A9DE" w14:textId="414BC64F" w:rsidR="008C58D2" w:rsidRDefault="008A1E95" w:rsidP="008C58D2">
      <w:pPr>
        <w:pStyle w:val="Tijeloteksta"/>
        <w:spacing w:line="252" w:lineRule="exact"/>
        <w:ind w:left="113"/>
      </w:pPr>
      <w:r>
        <w:rPr>
          <w:color w:val="000009"/>
        </w:rPr>
        <w:t xml:space="preserve">Utrošena sredstva u iznosu </w:t>
      </w:r>
      <w:r w:rsidR="008C58D2">
        <w:rPr>
          <w:color w:val="000009"/>
        </w:rPr>
        <w:t>1.</w:t>
      </w:r>
      <w:r w:rsidR="00A11E39">
        <w:rPr>
          <w:color w:val="000009"/>
        </w:rPr>
        <w:t>030</w:t>
      </w:r>
      <w:r w:rsidR="008C58D2">
        <w:rPr>
          <w:color w:val="000009"/>
        </w:rPr>
        <w:t>,</w:t>
      </w:r>
      <w:r w:rsidR="000730A0">
        <w:rPr>
          <w:color w:val="000009"/>
        </w:rPr>
        <w:t>2</w:t>
      </w:r>
      <w:r w:rsidR="00A11E39">
        <w:rPr>
          <w:color w:val="000009"/>
        </w:rPr>
        <w:t>9</w:t>
      </w:r>
      <w:r w:rsidR="008C58D2">
        <w:rPr>
          <w:color w:val="000009"/>
        </w:rPr>
        <w:t xml:space="preserve"> EUR</w:t>
      </w:r>
      <w:r w:rsidR="00714383">
        <w:rPr>
          <w:color w:val="000009"/>
        </w:rPr>
        <w:t xml:space="preserve"> financirana su</w:t>
      </w:r>
      <w:r w:rsidR="00822951">
        <w:rPr>
          <w:color w:val="000009"/>
        </w:rPr>
        <w:t xml:space="preserve"> iz</w:t>
      </w:r>
      <w:r w:rsidR="00714383">
        <w:rPr>
          <w:color w:val="000009"/>
        </w:rPr>
        <w:t xml:space="preserve"> izvor</w:t>
      </w:r>
      <w:r w:rsidR="00822951">
        <w:rPr>
          <w:color w:val="000009"/>
        </w:rPr>
        <w:t>a</w:t>
      </w:r>
      <w:r w:rsidR="00714383">
        <w:rPr>
          <w:color w:val="000009"/>
        </w:rPr>
        <w:t xml:space="preserve"> </w:t>
      </w:r>
      <w:r w:rsidR="00A11E39">
        <w:t>431</w:t>
      </w:r>
      <w:r w:rsidR="008C58D2">
        <w:t xml:space="preserve"> – </w:t>
      </w:r>
      <w:r w:rsidR="00A11E39">
        <w:t>komunalna naknada</w:t>
      </w:r>
      <w:r w:rsidR="008C58D2">
        <w:t>, u cjelokupnom iznosu.</w:t>
      </w:r>
    </w:p>
    <w:p w14:paraId="3EA1C851" w14:textId="77777777" w:rsidR="000730A0" w:rsidRDefault="000730A0" w:rsidP="007D1BD5">
      <w:pPr>
        <w:pStyle w:val="Tijeloteksta"/>
        <w:spacing w:line="252" w:lineRule="exact"/>
        <w:ind w:left="0"/>
        <w:jc w:val="both"/>
        <w:rPr>
          <w:color w:val="000009"/>
          <w:u w:val="thick" w:color="000009"/>
        </w:rPr>
      </w:pPr>
    </w:p>
    <w:p w14:paraId="401B34E2" w14:textId="77777777" w:rsidR="00FA05B7" w:rsidRDefault="00FA05B7" w:rsidP="007D1BD5">
      <w:pPr>
        <w:pStyle w:val="Tijeloteksta"/>
        <w:spacing w:line="252" w:lineRule="exact"/>
        <w:ind w:left="0"/>
        <w:jc w:val="both"/>
        <w:rPr>
          <w:color w:val="000009"/>
          <w:u w:val="thick" w:color="000009"/>
        </w:rPr>
      </w:pPr>
    </w:p>
    <w:p w14:paraId="223B50E7" w14:textId="77777777" w:rsidR="00FA05B7" w:rsidRDefault="00FA05B7" w:rsidP="007D1BD5">
      <w:pPr>
        <w:pStyle w:val="Tijeloteksta"/>
        <w:spacing w:line="252" w:lineRule="exact"/>
        <w:ind w:left="0"/>
        <w:jc w:val="both"/>
        <w:rPr>
          <w:color w:val="000009"/>
          <w:u w:val="thick" w:color="000009"/>
        </w:rPr>
      </w:pPr>
    </w:p>
    <w:p w14:paraId="65BEECE7" w14:textId="77777777" w:rsidR="00FA05B7" w:rsidRDefault="00FA05B7" w:rsidP="007D1BD5">
      <w:pPr>
        <w:pStyle w:val="Tijeloteksta"/>
        <w:spacing w:line="252" w:lineRule="exact"/>
        <w:ind w:left="0"/>
        <w:jc w:val="both"/>
        <w:rPr>
          <w:color w:val="000009"/>
          <w:u w:val="thick" w:color="000009"/>
        </w:rPr>
      </w:pPr>
    </w:p>
    <w:p w14:paraId="5F8EA7F6" w14:textId="5EB52D79" w:rsidR="000730A0" w:rsidRDefault="00A11E39" w:rsidP="000730A0">
      <w:pPr>
        <w:pStyle w:val="Naslov2"/>
      </w:pPr>
      <w:r>
        <w:rPr>
          <w:u w:val="thick"/>
        </w:rPr>
        <w:lastRenderedPageBreak/>
        <w:t>Parkiralište kod mrtvačnice u Blagorodovcu</w:t>
      </w:r>
    </w:p>
    <w:p w14:paraId="7ECE6EB7" w14:textId="476FA256" w:rsidR="000730A0" w:rsidRDefault="000730A0" w:rsidP="000730A0">
      <w:pPr>
        <w:pStyle w:val="Tijeloteksta"/>
        <w:spacing w:before="2"/>
      </w:pPr>
      <w:r>
        <w:t>Planirana</w:t>
      </w:r>
      <w:r>
        <w:rPr>
          <w:spacing w:val="-1"/>
        </w:rPr>
        <w:t xml:space="preserve"> </w:t>
      </w:r>
      <w:r>
        <w:t>sredstva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202</w:t>
      </w:r>
      <w:r w:rsidR="00A11E39">
        <w:t>5</w:t>
      </w:r>
      <w:r>
        <w:t>.g.</w:t>
      </w:r>
      <w:r>
        <w:rPr>
          <w:spacing w:val="-1"/>
        </w:rPr>
        <w:t xml:space="preserve"> </w:t>
      </w:r>
      <w:r>
        <w:t xml:space="preserve">: </w:t>
      </w:r>
      <w:r w:rsidR="00A11E39">
        <w:t>5</w:t>
      </w:r>
      <w:r>
        <w:t>00,00</w:t>
      </w:r>
      <w:r>
        <w:rPr>
          <w:spacing w:val="-1"/>
        </w:rPr>
        <w:t xml:space="preserve"> </w:t>
      </w:r>
      <w:r>
        <w:t>EUR</w:t>
      </w:r>
    </w:p>
    <w:p w14:paraId="507A6754" w14:textId="670459E4" w:rsidR="000730A0" w:rsidRDefault="000730A0" w:rsidP="000730A0">
      <w:pPr>
        <w:pStyle w:val="Tijeloteksta"/>
        <w:spacing w:before="2"/>
      </w:pPr>
      <w:r>
        <w:t>Ostvarena sredstva u 20</w:t>
      </w:r>
      <w:r w:rsidR="00A11E39">
        <w:t>25</w:t>
      </w:r>
      <w:r>
        <w:t xml:space="preserve">.g.: </w:t>
      </w:r>
      <w:r w:rsidR="00A11E39">
        <w:t>500</w:t>
      </w:r>
      <w:r>
        <w:t>,0</w:t>
      </w:r>
      <w:r w:rsidR="00A11E39">
        <w:t>0</w:t>
      </w:r>
      <w:r>
        <w:t xml:space="preserve"> EUR</w:t>
      </w:r>
    </w:p>
    <w:p w14:paraId="1ABE4E6F" w14:textId="77777777" w:rsidR="000730A0" w:rsidRDefault="000730A0" w:rsidP="000730A0">
      <w:pPr>
        <w:pStyle w:val="Tijeloteksta"/>
        <w:spacing w:before="2"/>
      </w:pPr>
    </w:p>
    <w:p w14:paraId="66A5F4C6" w14:textId="7A4CCA06" w:rsidR="00A11E39" w:rsidRPr="00A11E39" w:rsidRDefault="00A11E39" w:rsidP="00C34C22">
      <w:pPr>
        <w:pStyle w:val="Tijeloteksta"/>
        <w:spacing w:line="252" w:lineRule="exact"/>
        <w:ind w:left="142" w:hanging="30"/>
        <w:jc w:val="both"/>
      </w:pPr>
      <w:r w:rsidRPr="00A11E39">
        <w:t>U razdoblju od 01.01. – 3</w:t>
      </w:r>
      <w:r>
        <w:t>1</w:t>
      </w:r>
      <w:r w:rsidRPr="00A11E39">
        <w:t>.</w:t>
      </w:r>
      <w:r>
        <w:t>12</w:t>
      </w:r>
      <w:r w:rsidRPr="00A11E39">
        <w:t>.2025. godine utrošeno je 500,00 EUR za izgradnju parkirališta kod mrtvačnice u Blagorodovcu. Navedeni troškovi se odnose na izradu troškovnika i nacrta za uređenje parkirališta i asfaltiranih površina na groblju u Blagorodovcu.</w:t>
      </w:r>
    </w:p>
    <w:p w14:paraId="78123F74" w14:textId="77777777" w:rsidR="00A11E39" w:rsidRPr="00A11E39" w:rsidRDefault="00A11E39" w:rsidP="00C34C22">
      <w:pPr>
        <w:pStyle w:val="Tijeloteksta"/>
        <w:spacing w:line="252" w:lineRule="exact"/>
        <w:ind w:left="0" w:firstLine="112"/>
        <w:jc w:val="both"/>
      </w:pPr>
    </w:p>
    <w:p w14:paraId="6F193229" w14:textId="77777777" w:rsidR="00A11E39" w:rsidRPr="00A11E39" w:rsidRDefault="00A11E39" w:rsidP="00C34C22">
      <w:pPr>
        <w:pStyle w:val="Tijeloteksta"/>
        <w:spacing w:line="252" w:lineRule="exact"/>
        <w:ind w:left="142"/>
        <w:jc w:val="both"/>
      </w:pPr>
      <w:r w:rsidRPr="00A11E39">
        <w:t>Sredstva utrošena za izgradnju parkirališta kod mrtvačnice u Blagorodovcu financirana su iz izvora 431 – komunalna naknada, u cjelokupnom iznosu.</w:t>
      </w:r>
    </w:p>
    <w:p w14:paraId="3CFC25E5" w14:textId="77777777" w:rsidR="004C2C2A" w:rsidRPr="004C2C2A" w:rsidRDefault="00714383" w:rsidP="004C2C2A">
      <w:pPr>
        <w:pStyle w:val="Tijeloteksta"/>
        <w:ind w:left="142" w:firstLine="112"/>
        <w:jc w:val="both"/>
        <w:rPr>
          <w:b/>
          <w:bCs/>
          <w:color w:val="000009"/>
        </w:rPr>
      </w:pPr>
      <w:r>
        <w:rPr>
          <w:color w:val="000009"/>
          <w:u w:val="thick" w:color="000009"/>
        </w:rPr>
        <w:br/>
      </w:r>
      <w:r w:rsidR="004C2C2A" w:rsidRPr="004C2C2A">
        <w:rPr>
          <w:b/>
          <w:bCs/>
          <w:color w:val="000009"/>
          <w:u w:val="thick"/>
        </w:rPr>
        <w:t>Parkiralište na katoličkom groblju u Golubinjaku</w:t>
      </w:r>
    </w:p>
    <w:p w14:paraId="3046A0D4" w14:textId="7B07E3C2" w:rsidR="004C2C2A" w:rsidRPr="004C2C2A" w:rsidRDefault="004C2C2A" w:rsidP="004C2C2A">
      <w:pPr>
        <w:pStyle w:val="Tijeloteksta"/>
        <w:ind w:left="0" w:firstLine="112"/>
        <w:jc w:val="both"/>
        <w:rPr>
          <w:color w:val="000009"/>
        </w:rPr>
      </w:pPr>
      <w:r w:rsidRPr="004C2C2A">
        <w:rPr>
          <w:color w:val="000009"/>
        </w:rPr>
        <w:t xml:space="preserve">Planirana sredstva u 2025.g.: </w:t>
      </w:r>
      <w:r>
        <w:rPr>
          <w:color w:val="000009"/>
        </w:rPr>
        <w:t>5</w:t>
      </w:r>
      <w:r w:rsidRPr="004C2C2A">
        <w:rPr>
          <w:color w:val="000009"/>
        </w:rPr>
        <w:t>00,00 EUR</w:t>
      </w:r>
    </w:p>
    <w:p w14:paraId="2094A84E" w14:textId="3BAA68C2" w:rsidR="004C2C2A" w:rsidRPr="004C2C2A" w:rsidRDefault="004C2C2A" w:rsidP="004C2C2A">
      <w:pPr>
        <w:pStyle w:val="Tijeloteksta"/>
        <w:ind w:left="0" w:firstLine="112"/>
        <w:jc w:val="both"/>
        <w:rPr>
          <w:color w:val="000009"/>
        </w:rPr>
      </w:pPr>
      <w:r w:rsidRPr="004C2C2A">
        <w:rPr>
          <w:color w:val="000009"/>
        </w:rPr>
        <w:t>Utrošena sredstva 2025.g.: 500,00 EUR</w:t>
      </w:r>
    </w:p>
    <w:p w14:paraId="02097029" w14:textId="77777777" w:rsidR="004C2C2A" w:rsidRPr="004C2C2A" w:rsidRDefault="004C2C2A" w:rsidP="004C2C2A">
      <w:pPr>
        <w:pStyle w:val="Tijeloteksta"/>
        <w:spacing w:line="252" w:lineRule="exact"/>
        <w:ind w:firstLine="112"/>
        <w:jc w:val="both"/>
        <w:rPr>
          <w:color w:val="000009"/>
        </w:rPr>
      </w:pPr>
    </w:p>
    <w:p w14:paraId="3F2094BC" w14:textId="5033783C" w:rsidR="004C2C2A" w:rsidRPr="004C2C2A" w:rsidRDefault="004C2C2A" w:rsidP="004C2C2A">
      <w:pPr>
        <w:pStyle w:val="Tijeloteksta"/>
        <w:spacing w:line="252" w:lineRule="exact"/>
        <w:ind w:left="142"/>
        <w:jc w:val="both"/>
        <w:rPr>
          <w:color w:val="000009"/>
        </w:rPr>
      </w:pPr>
      <w:r w:rsidRPr="004C2C2A">
        <w:rPr>
          <w:color w:val="000009"/>
        </w:rPr>
        <w:t>U</w:t>
      </w:r>
      <w:r>
        <w:rPr>
          <w:color w:val="000009"/>
        </w:rPr>
        <w:t xml:space="preserve"> ovom</w:t>
      </w:r>
      <w:r w:rsidRPr="004C2C2A">
        <w:rPr>
          <w:color w:val="000009"/>
        </w:rPr>
        <w:t xml:space="preserve"> izvještajnom razdoblju za izgradnju parkirališta na katoličkom groblju u Golubinjaku utrošeno je 500,00 EUR. Navedeni troškovi vezani su za izradu troškovnika i nacrta za uređenje parkirališta i asfaltiranih površina na parkiralištu na katoličkom groblju u Golubinjaku.</w:t>
      </w:r>
    </w:p>
    <w:p w14:paraId="7A494735" w14:textId="77777777" w:rsidR="004C2C2A" w:rsidRPr="004C2C2A" w:rsidRDefault="004C2C2A" w:rsidP="004C2C2A">
      <w:pPr>
        <w:pStyle w:val="Tijeloteksta"/>
        <w:spacing w:line="252" w:lineRule="exact"/>
        <w:ind w:left="0"/>
        <w:jc w:val="both"/>
        <w:rPr>
          <w:color w:val="000009"/>
        </w:rPr>
      </w:pPr>
    </w:p>
    <w:p w14:paraId="683DA992" w14:textId="77777777" w:rsidR="004C2C2A" w:rsidRPr="004C2C2A" w:rsidRDefault="004C2C2A" w:rsidP="004C2C2A">
      <w:pPr>
        <w:pStyle w:val="Tijeloteksta"/>
        <w:spacing w:line="252" w:lineRule="exact"/>
        <w:ind w:left="142"/>
        <w:jc w:val="both"/>
        <w:rPr>
          <w:color w:val="000009"/>
        </w:rPr>
      </w:pPr>
      <w:r w:rsidRPr="004C2C2A">
        <w:rPr>
          <w:color w:val="000009"/>
        </w:rPr>
        <w:t>Sredstva utrošena po ovoj aktivnosti financirana su iz izvora 430 – ostali prihodi za posebne namjene, u cjelokupnom iznosu.</w:t>
      </w:r>
    </w:p>
    <w:p w14:paraId="61ACFA39" w14:textId="77777777" w:rsidR="00FA05B7" w:rsidRDefault="00FA05B7" w:rsidP="001E707B">
      <w:pPr>
        <w:pStyle w:val="Tijeloteksta"/>
        <w:spacing w:line="252" w:lineRule="exact"/>
        <w:ind w:left="0" w:firstLine="112"/>
        <w:jc w:val="both"/>
      </w:pPr>
    </w:p>
    <w:p w14:paraId="0A64B9F1" w14:textId="77777777" w:rsidR="001E707B" w:rsidRPr="001E707B" w:rsidRDefault="001E707B" w:rsidP="001E707B">
      <w:pPr>
        <w:pStyle w:val="Tijeloteksta"/>
        <w:ind w:left="0" w:firstLine="112"/>
        <w:jc w:val="both"/>
        <w:rPr>
          <w:b/>
          <w:bCs/>
        </w:rPr>
      </w:pPr>
      <w:r w:rsidRPr="001E707B">
        <w:rPr>
          <w:b/>
          <w:bCs/>
          <w:u w:val="thick"/>
        </w:rPr>
        <w:t>Parkiralište na groblju u Gornjim Sređanima</w:t>
      </w:r>
    </w:p>
    <w:p w14:paraId="553DF7F0" w14:textId="1CCE2A1C" w:rsidR="001E707B" w:rsidRPr="001E707B" w:rsidRDefault="001E707B" w:rsidP="001E707B">
      <w:pPr>
        <w:pStyle w:val="Tijeloteksta"/>
        <w:ind w:left="0" w:firstLine="112"/>
        <w:jc w:val="both"/>
      </w:pPr>
      <w:r w:rsidRPr="001E707B">
        <w:t>Planirana sredstva u 202</w:t>
      </w:r>
      <w:r w:rsidR="004C2C2A">
        <w:t>5</w:t>
      </w:r>
      <w:r w:rsidRPr="001E707B">
        <w:t xml:space="preserve">.g.: </w:t>
      </w:r>
      <w:r w:rsidR="004C2C2A">
        <w:t>5</w:t>
      </w:r>
      <w:r w:rsidRPr="001E707B">
        <w:t>00,00 EUR</w:t>
      </w:r>
    </w:p>
    <w:p w14:paraId="455DA487" w14:textId="5630B3AA" w:rsidR="001E707B" w:rsidRPr="001E707B" w:rsidRDefault="001E707B" w:rsidP="001E707B">
      <w:pPr>
        <w:pStyle w:val="Tijeloteksta"/>
        <w:ind w:left="0" w:firstLine="112"/>
        <w:jc w:val="both"/>
      </w:pPr>
      <w:r w:rsidRPr="001E707B">
        <w:t xml:space="preserve">Utrošena sredstva </w:t>
      </w:r>
      <w:r>
        <w:t xml:space="preserve">u </w:t>
      </w:r>
      <w:r w:rsidRPr="001E707B">
        <w:t>202</w:t>
      </w:r>
      <w:r w:rsidR="004C2C2A">
        <w:t>5</w:t>
      </w:r>
      <w:r w:rsidRPr="001E707B">
        <w:t xml:space="preserve">.g.: </w:t>
      </w:r>
      <w:r w:rsidR="004C2C2A">
        <w:t>500,00</w:t>
      </w:r>
      <w:r w:rsidRPr="001E707B">
        <w:t xml:space="preserve"> EUR</w:t>
      </w:r>
    </w:p>
    <w:p w14:paraId="347DAFED" w14:textId="77777777" w:rsidR="001E707B" w:rsidRPr="001E707B" w:rsidRDefault="001E707B" w:rsidP="001E707B">
      <w:pPr>
        <w:pStyle w:val="Tijeloteksta"/>
        <w:spacing w:line="252" w:lineRule="exact"/>
        <w:ind w:firstLine="112"/>
        <w:jc w:val="both"/>
      </w:pPr>
    </w:p>
    <w:p w14:paraId="7EE91088" w14:textId="05AA52C1" w:rsidR="004C2C2A" w:rsidRPr="004C2C2A" w:rsidRDefault="004C2C2A" w:rsidP="00C34C22">
      <w:pPr>
        <w:pStyle w:val="Tijeloteksta"/>
        <w:spacing w:line="252" w:lineRule="exact"/>
        <w:jc w:val="both"/>
      </w:pPr>
      <w:r w:rsidRPr="004C2C2A">
        <w:t>U razdoblju od 01.01. – 3</w:t>
      </w:r>
      <w:r>
        <w:t>1</w:t>
      </w:r>
      <w:r w:rsidRPr="004C2C2A">
        <w:t>.</w:t>
      </w:r>
      <w:r>
        <w:t>12</w:t>
      </w:r>
      <w:r w:rsidRPr="004C2C2A">
        <w:t>.2025. godine utrošeno je 500,00 EUR za izradu troškovnika i nacrta za uređenje parkirališta i asfaltiranih površina na parkiralištu na groblju u Gornjim Sređanima.</w:t>
      </w:r>
    </w:p>
    <w:p w14:paraId="453E11FA" w14:textId="77777777" w:rsidR="001E707B" w:rsidRPr="001E707B" w:rsidRDefault="001E707B" w:rsidP="00C34C22">
      <w:pPr>
        <w:pStyle w:val="Tijeloteksta"/>
        <w:spacing w:line="252" w:lineRule="exact"/>
        <w:jc w:val="both"/>
      </w:pPr>
    </w:p>
    <w:p w14:paraId="3AA5E20B" w14:textId="7897EFBC" w:rsidR="001E707B" w:rsidRPr="001E707B" w:rsidRDefault="001E707B" w:rsidP="00C34C22">
      <w:pPr>
        <w:pStyle w:val="Tijeloteksta"/>
        <w:spacing w:line="252" w:lineRule="exact"/>
        <w:jc w:val="both"/>
      </w:pPr>
      <w:r w:rsidRPr="001E707B">
        <w:t xml:space="preserve">Sredstva utrošena za izgradnju parkirališta na groblju u Gornjim Sređanima financirana su iz izvora </w:t>
      </w:r>
      <w:r w:rsidR="004C2C2A">
        <w:t>11</w:t>
      </w:r>
      <w:r w:rsidRPr="001E707B">
        <w:t xml:space="preserve">0 – </w:t>
      </w:r>
      <w:r w:rsidR="004C2C2A">
        <w:t>opći prihodi i primici</w:t>
      </w:r>
      <w:r w:rsidRPr="001E707B">
        <w:t>, u cjelokupnom iznosu.</w:t>
      </w:r>
    </w:p>
    <w:p w14:paraId="0CF30114" w14:textId="77777777" w:rsidR="00FA05B7" w:rsidRDefault="00FA05B7" w:rsidP="001E707B">
      <w:pPr>
        <w:pStyle w:val="Tijeloteksta"/>
        <w:spacing w:line="252" w:lineRule="exact"/>
        <w:ind w:left="0" w:firstLine="112"/>
        <w:jc w:val="both"/>
      </w:pPr>
    </w:p>
    <w:p w14:paraId="38DAF922" w14:textId="77777777" w:rsidR="004C2C2A" w:rsidRPr="004C2C2A" w:rsidRDefault="004C2C2A" w:rsidP="004C2C2A">
      <w:pPr>
        <w:pStyle w:val="Tijeloteksta"/>
        <w:ind w:firstLine="30"/>
        <w:jc w:val="both"/>
        <w:rPr>
          <w:b/>
          <w:bCs/>
          <w:u w:val="thick"/>
        </w:rPr>
      </w:pPr>
      <w:r w:rsidRPr="004C2C2A">
        <w:rPr>
          <w:b/>
          <w:bCs/>
          <w:u w:val="thick"/>
        </w:rPr>
        <w:t>Parkiralište kod doma u Donjim Sređanima</w:t>
      </w:r>
    </w:p>
    <w:p w14:paraId="43945AD4" w14:textId="655630ED" w:rsidR="004C2C2A" w:rsidRPr="004C2C2A" w:rsidRDefault="004C2C2A" w:rsidP="004C2C2A">
      <w:pPr>
        <w:pStyle w:val="Tijeloteksta"/>
        <w:ind w:left="142"/>
        <w:jc w:val="both"/>
      </w:pPr>
      <w:r w:rsidRPr="004C2C2A">
        <w:t>Planirana sredstva u 2025.g.: 500,00 EUR</w:t>
      </w:r>
    </w:p>
    <w:p w14:paraId="2D6D49D0" w14:textId="6EEF4648" w:rsidR="004C2C2A" w:rsidRPr="004C2C2A" w:rsidRDefault="00C34C22" w:rsidP="004C2C2A">
      <w:pPr>
        <w:pStyle w:val="Tijeloteksta"/>
        <w:ind w:left="0" w:firstLine="112"/>
        <w:jc w:val="both"/>
      </w:pPr>
      <w:r>
        <w:t xml:space="preserve"> </w:t>
      </w:r>
      <w:r w:rsidR="004C2C2A" w:rsidRPr="004C2C2A">
        <w:t>Utrošena sredstva 2025.g.: 500,00 EUR</w:t>
      </w:r>
    </w:p>
    <w:p w14:paraId="54B57F63" w14:textId="77777777" w:rsidR="004C2C2A" w:rsidRPr="004C2C2A" w:rsidRDefault="004C2C2A" w:rsidP="004C2C2A">
      <w:pPr>
        <w:pStyle w:val="Tijeloteksta"/>
        <w:ind w:left="0" w:firstLine="112"/>
        <w:jc w:val="both"/>
      </w:pPr>
    </w:p>
    <w:p w14:paraId="51E4D61A" w14:textId="1A88569E" w:rsidR="004C2C2A" w:rsidRPr="004C2C2A" w:rsidRDefault="004C2C2A" w:rsidP="004C2C2A">
      <w:pPr>
        <w:pStyle w:val="Tijeloteksta"/>
        <w:ind w:left="142" w:hanging="30"/>
        <w:jc w:val="both"/>
      </w:pPr>
      <w:r w:rsidRPr="004C2C2A">
        <w:t>U razdoblju od 01.01. – 3</w:t>
      </w:r>
      <w:r>
        <w:t>1</w:t>
      </w:r>
      <w:r w:rsidRPr="004C2C2A">
        <w:t>.</w:t>
      </w:r>
      <w:r>
        <w:t>12</w:t>
      </w:r>
      <w:r w:rsidRPr="004C2C2A">
        <w:t>.2025. godine utrošeno je 500,00 EUR za izradu troškovnika i nacrta za uređenje parkirališta i asfaltiranih površina na parkiralištu kod doma u Donjim Sređanima.</w:t>
      </w:r>
    </w:p>
    <w:p w14:paraId="53EC59CE" w14:textId="77777777" w:rsidR="004C2C2A" w:rsidRPr="004C2C2A" w:rsidRDefault="004C2C2A" w:rsidP="004C2C2A">
      <w:pPr>
        <w:pStyle w:val="Tijeloteksta"/>
        <w:ind w:left="0" w:firstLine="112"/>
        <w:jc w:val="both"/>
      </w:pPr>
    </w:p>
    <w:p w14:paraId="743640FE" w14:textId="1EB3E90F" w:rsidR="00FA05B7" w:rsidRDefault="004C2C2A" w:rsidP="004C2C2A">
      <w:pPr>
        <w:pStyle w:val="Tijeloteksta"/>
        <w:spacing w:line="252" w:lineRule="exact"/>
        <w:ind w:left="142"/>
      </w:pPr>
      <w:r w:rsidRPr="004C2C2A">
        <w:t>Sredstva utrošena za izgradnju parkirališta kod doma u Donjim Sređanima financirana su iz izvora 431 – komunalna  naknada, u cjelokupnom iznosu.</w:t>
      </w:r>
    </w:p>
    <w:p w14:paraId="3965BE7B" w14:textId="77777777" w:rsidR="00FA05B7" w:rsidRDefault="00FA05B7" w:rsidP="002779E2">
      <w:pPr>
        <w:pStyle w:val="Naslov2"/>
        <w:ind w:left="0"/>
        <w:jc w:val="both"/>
        <w:rPr>
          <w:u w:val="thick"/>
        </w:rPr>
      </w:pPr>
    </w:p>
    <w:p w14:paraId="545638C2" w14:textId="31A2460A" w:rsidR="009950DF" w:rsidRPr="002F5279" w:rsidRDefault="002F5279">
      <w:pPr>
        <w:pStyle w:val="Naslov2"/>
        <w:jc w:val="both"/>
        <w:rPr>
          <w:b w:val="0"/>
        </w:rPr>
      </w:pPr>
      <w:r w:rsidRPr="002F5279">
        <w:rPr>
          <w:u w:val="thick"/>
        </w:rPr>
        <w:t>Mrtvačnica u Trojeglavi</w:t>
      </w:r>
    </w:p>
    <w:p w14:paraId="0ACC5FE5" w14:textId="1D0BCD58" w:rsidR="009950DF" w:rsidRDefault="00BF3CCF">
      <w:pPr>
        <w:pStyle w:val="Tijeloteksta"/>
        <w:spacing w:before="2"/>
        <w:jc w:val="both"/>
      </w:pPr>
      <w:r>
        <w:t>Planirana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 w:rsidR="00297473">
        <w:rPr>
          <w:spacing w:val="-2"/>
        </w:rPr>
        <w:t>u</w:t>
      </w:r>
      <w:r>
        <w:rPr>
          <w:spacing w:val="-1"/>
        </w:rPr>
        <w:t xml:space="preserve"> </w:t>
      </w:r>
      <w:r>
        <w:t>202</w:t>
      </w:r>
      <w:r w:rsidR="004C2C2A">
        <w:t>5</w:t>
      </w:r>
      <w:r>
        <w:t xml:space="preserve">.g. : </w:t>
      </w:r>
      <w:r w:rsidR="004C2C2A">
        <w:t>3</w:t>
      </w:r>
      <w:r w:rsidR="008C58D2">
        <w:t>5.000,00 EUR</w:t>
      </w:r>
    </w:p>
    <w:p w14:paraId="090EA946" w14:textId="08A3E069" w:rsidR="00580203" w:rsidRDefault="00580203">
      <w:pPr>
        <w:pStyle w:val="Tijeloteksta"/>
        <w:spacing w:before="2"/>
        <w:jc w:val="both"/>
      </w:pPr>
      <w:r>
        <w:t>Ostvarena sredstva u 20</w:t>
      </w:r>
      <w:r w:rsidR="002F5279">
        <w:t>2</w:t>
      </w:r>
      <w:r w:rsidR="004C2C2A">
        <w:t>5</w:t>
      </w:r>
      <w:r>
        <w:t xml:space="preserve">.g.: </w:t>
      </w:r>
      <w:r w:rsidR="004C2C2A">
        <w:t>3</w:t>
      </w:r>
      <w:r w:rsidR="002F5279">
        <w:t>9</w:t>
      </w:r>
      <w:r w:rsidR="008C58D2">
        <w:t>.</w:t>
      </w:r>
      <w:r w:rsidR="004C2C2A">
        <w:t>396</w:t>
      </w:r>
      <w:r w:rsidR="002F5279">
        <w:t>,</w:t>
      </w:r>
      <w:r w:rsidR="004C2C2A">
        <w:t>00</w:t>
      </w:r>
      <w:r w:rsidR="008C58D2">
        <w:t xml:space="preserve"> EUR</w:t>
      </w:r>
    </w:p>
    <w:p w14:paraId="5D877981" w14:textId="77777777" w:rsidR="009950DF" w:rsidRDefault="009950DF">
      <w:pPr>
        <w:pStyle w:val="Tijeloteksta"/>
        <w:ind w:left="0"/>
      </w:pPr>
    </w:p>
    <w:p w14:paraId="019EE881" w14:textId="17CBF1F0" w:rsidR="004C2C2A" w:rsidRPr="004C2C2A" w:rsidRDefault="004C2C2A" w:rsidP="004C2C2A">
      <w:pPr>
        <w:pStyle w:val="Tijeloteksta"/>
        <w:spacing w:before="11"/>
        <w:ind w:left="142"/>
        <w:rPr>
          <w:color w:val="000009"/>
        </w:rPr>
      </w:pPr>
      <w:r w:rsidRPr="004C2C2A">
        <w:rPr>
          <w:color w:val="000009"/>
        </w:rPr>
        <w:t>U razdoblju od 01.01. – 3</w:t>
      </w:r>
      <w:r>
        <w:rPr>
          <w:color w:val="000009"/>
        </w:rPr>
        <w:t>1</w:t>
      </w:r>
      <w:r w:rsidRPr="004C2C2A">
        <w:rPr>
          <w:color w:val="000009"/>
        </w:rPr>
        <w:t>.</w:t>
      </w:r>
      <w:r>
        <w:rPr>
          <w:color w:val="000009"/>
        </w:rPr>
        <w:t>12</w:t>
      </w:r>
      <w:r w:rsidRPr="004C2C2A">
        <w:rPr>
          <w:color w:val="000009"/>
        </w:rPr>
        <w:t>.2025. godine utrošeno je 34.157,25 EUR za izgradnju mrtvačnice u Trojeglavi. Navedena sredstva su utrošena za troškove po okončanoj situaciji za mrtvačnicu u Trojeglavi u iznosu 24.832,25 EUR, stručni nadzor nad radovima na mrtvačnici na groblju u Trojeglavi u iznosu 1.000,00 EUR, za nepredviđene radove na adaptaciji mrtvačnice na groblju u Trojeglavi u iznosu 8.325,00 EUR</w:t>
      </w:r>
      <w:r>
        <w:rPr>
          <w:color w:val="000009"/>
        </w:rPr>
        <w:t>, za izradu elektrotehničkih radova utrošeno je 5.238,75 EUR</w:t>
      </w:r>
      <w:r w:rsidRPr="004C2C2A">
        <w:rPr>
          <w:color w:val="000009"/>
        </w:rPr>
        <w:t>.</w:t>
      </w:r>
    </w:p>
    <w:p w14:paraId="484A42DA" w14:textId="77777777" w:rsidR="004C2C2A" w:rsidRPr="004C2C2A" w:rsidRDefault="004C2C2A" w:rsidP="004C2C2A">
      <w:pPr>
        <w:pStyle w:val="Tijeloteksta"/>
        <w:spacing w:before="11"/>
        <w:ind w:left="0"/>
        <w:rPr>
          <w:color w:val="000009"/>
        </w:rPr>
      </w:pPr>
    </w:p>
    <w:p w14:paraId="63F3828E" w14:textId="77777777" w:rsidR="004C2C2A" w:rsidRPr="004C2C2A" w:rsidRDefault="004C2C2A" w:rsidP="004C2C2A">
      <w:pPr>
        <w:pStyle w:val="Tijeloteksta"/>
        <w:spacing w:before="11"/>
        <w:ind w:left="142"/>
        <w:rPr>
          <w:color w:val="000009"/>
        </w:rPr>
      </w:pPr>
      <w:r w:rsidRPr="004C2C2A">
        <w:rPr>
          <w:color w:val="000009"/>
        </w:rPr>
        <w:t>Sredstva utrošena po ovoj aktivnosti financirana su iz izvora 110- opći prihodi i primici, u cjelokupnom iznosu.</w:t>
      </w:r>
    </w:p>
    <w:p w14:paraId="42B8B46A" w14:textId="77777777" w:rsidR="00C34C22" w:rsidRDefault="00C34C22">
      <w:pPr>
        <w:pStyle w:val="Tijeloteksta"/>
        <w:spacing w:before="11"/>
        <w:ind w:left="0"/>
        <w:rPr>
          <w:sz w:val="21"/>
        </w:rPr>
      </w:pPr>
    </w:p>
    <w:p w14:paraId="495C5662" w14:textId="0C7E430E" w:rsidR="009950DF" w:rsidRDefault="000856ED">
      <w:pPr>
        <w:pStyle w:val="Naslov2"/>
        <w:jc w:val="both"/>
      </w:pPr>
      <w:r>
        <w:rPr>
          <w:color w:val="000009"/>
          <w:u w:val="thick" w:color="000009"/>
        </w:rPr>
        <w:t>Mrtvačnica Golubinjak (katoličko groblje)</w:t>
      </w:r>
    </w:p>
    <w:p w14:paraId="77A3408B" w14:textId="66922738" w:rsidR="009950DF" w:rsidRPr="009326B1" w:rsidRDefault="00BF3CCF" w:rsidP="009326B1">
      <w:pPr>
        <w:pStyle w:val="Tijeloteksta"/>
        <w:spacing w:before="1"/>
        <w:jc w:val="both"/>
        <w:rPr>
          <w:color w:val="000009"/>
        </w:rPr>
      </w:pPr>
      <w:r>
        <w:rPr>
          <w:color w:val="000009"/>
        </w:rPr>
        <w:t>Planirana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sredstva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</w:t>
      </w:r>
      <w:r w:rsidR="00B04D1A">
        <w:rPr>
          <w:color w:val="000009"/>
        </w:rPr>
        <w:t>5</w:t>
      </w:r>
      <w:r>
        <w:rPr>
          <w:color w:val="000009"/>
        </w:rPr>
        <w:t>.g.:</w:t>
      </w:r>
      <w:r>
        <w:rPr>
          <w:color w:val="000009"/>
          <w:spacing w:val="1"/>
        </w:rPr>
        <w:t xml:space="preserve"> </w:t>
      </w:r>
      <w:r w:rsidR="00B04D1A">
        <w:rPr>
          <w:color w:val="000009"/>
        </w:rPr>
        <w:t>575</w:t>
      </w:r>
      <w:r>
        <w:rPr>
          <w:color w:val="000009"/>
        </w:rPr>
        <w:t>,00</w:t>
      </w:r>
      <w:r w:rsidR="009326B1">
        <w:rPr>
          <w:color w:val="000009"/>
          <w:spacing w:val="-1"/>
        </w:rPr>
        <w:t xml:space="preserve"> EUR</w:t>
      </w:r>
    </w:p>
    <w:p w14:paraId="12B811AA" w14:textId="772121D7" w:rsidR="00AD3786" w:rsidRDefault="00AD3786" w:rsidP="00AD3786">
      <w:pPr>
        <w:pStyle w:val="Tijeloteksta"/>
        <w:spacing w:before="1"/>
        <w:jc w:val="both"/>
      </w:pPr>
      <w:r>
        <w:t>Ostvarena sredstva u 20</w:t>
      </w:r>
      <w:r w:rsidR="00B04D1A">
        <w:t>25</w:t>
      </w:r>
      <w:r>
        <w:t xml:space="preserve">.g.: </w:t>
      </w:r>
      <w:r w:rsidR="00B04D1A">
        <w:t>575</w:t>
      </w:r>
      <w:r>
        <w:t xml:space="preserve">,00 </w:t>
      </w:r>
      <w:r w:rsidR="009326B1">
        <w:t>EUR</w:t>
      </w:r>
    </w:p>
    <w:p w14:paraId="71333AE3" w14:textId="77777777" w:rsidR="00AD3786" w:rsidRDefault="00AD3786" w:rsidP="0005175C">
      <w:pPr>
        <w:pStyle w:val="Tijeloteksta"/>
        <w:spacing w:before="1"/>
        <w:jc w:val="both"/>
      </w:pPr>
    </w:p>
    <w:p w14:paraId="4813BBEE" w14:textId="77777777" w:rsidR="00B04D1A" w:rsidRPr="00B04D1A" w:rsidRDefault="00B04D1A" w:rsidP="00B04D1A">
      <w:pPr>
        <w:pStyle w:val="Tijeloteksta"/>
        <w:spacing w:before="1"/>
        <w:jc w:val="both"/>
      </w:pPr>
      <w:r w:rsidRPr="00B04D1A">
        <w:t>U ovom izvještajnom razdoblju za radove na mrtvačnici u Golubinjaku (katoličko groblje) utrošeno je 575,00 EUR. Navedena sredstva su utrošena za geodetsko snimanje izgrađene mrtvačnice u Golubinjaku – za potrebe uporabne dozvole, u iznosu od 375,00 EUR te za ponovno redovito ispitivanje niskonaponskih električnih instalacija i gromobranske instalacije po isteku valjanih atesta, u iznosu 200,00 EUR.</w:t>
      </w:r>
    </w:p>
    <w:p w14:paraId="661C6C40" w14:textId="77777777" w:rsidR="0005175C" w:rsidRPr="00AD3786" w:rsidRDefault="0005175C" w:rsidP="0005175C">
      <w:pPr>
        <w:pStyle w:val="Tijeloteksta"/>
        <w:spacing w:before="1"/>
        <w:jc w:val="both"/>
      </w:pPr>
    </w:p>
    <w:p w14:paraId="49718132" w14:textId="42EE1A34" w:rsidR="00206EA2" w:rsidRPr="00C34C22" w:rsidRDefault="000856ED" w:rsidP="00C34C22">
      <w:pPr>
        <w:pStyle w:val="Tijeloteksta"/>
        <w:ind w:right="527"/>
        <w:jc w:val="both"/>
      </w:pPr>
      <w:r>
        <w:t>Sredstva utrošena za financiranje gradnje mrtvačnice u Golubinjaku financirana su iz izvora 431 – komunalna naknada, u cjelokupnom iznosu</w:t>
      </w:r>
      <w:r w:rsidR="009326B1">
        <w:t>.</w:t>
      </w:r>
    </w:p>
    <w:p w14:paraId="59BA0609" w14:textId="77777777" w:rsidR="00FA05B7" w:rsidRDefault="00FA05B7">
      <w:pPr>
        <w:pStyle w:val="Tijeloteksta"/>
        <w:spacing w:before="1"/>
        <w:ind w:hanging="1"/>
        <w:rPr>
          <w:color w:val="000009"/>
        </w:rPr>
      </w:pPr>
    </w:p>
    <w:p w14:paraId="1C23BCE3" w14:textId="731743F3" w:rsidR="009326B1" w:rsidRDefault="00342389" w:rsidP="009326B1">
      <w:pPr>
        <w:pStyle w:val="Zaglavlje"/>
        <w:ind w:left="14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Mrtvačnica Blagorodovac</w:t>
      </w:r>
    </w:p>
    <w:p w14:paraId="221222E3" w14:textId="64CAE658" w:rsidR="009326B1" w:rsidRDefault="009326B1" w:rsidP="009326B1">
      <w:pPr>
        <w:pStyle w:val="Zaglavlje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Planirana sredstva u 202</w:t>
      </w:r>
      <w:r w:rsidR="009240E2">
        <w:rPr>
          <w:sz w:val="22"/>
          <w:szCs w:val="22"/>
        </w:rPr>
        <w:t>5</w:t>
      </w:r>
      <w:r>
        <w:rPr>
          <w:sz w:val="22"/>
          <w:szCs w:val="22"/>
        </w:rPr>
        <w:t xml:space="preserve">.g.: </w:t>
      </w:r>
      <w:r w:rsidR="009240E2">
        <w:rPr>
          <w:sz w:val="22"/>
          <w:szCs w:val="22"/>
        </w:rPr>
        <w:t>575</w:t>
      </w:r>
      <w:r>
        <w:rPr>
          <w:sz w:val="22"/>
          <w:szCs w:val="22"/>
        </w:rPr>
        <w:t>,00 EUR</w:t>
      </w:r>
    </w:p>
    <w:p w14:paraId="59A6673A" w14:textId="0CFF6FEC" w:rsidR="00B261C3" w:rsidRDefault="00B261C3" w:rsidP="00B261C3">
      <w:pPr>
        <w:pStyle w:val="Tijeloteksta"/>
        <w:spacing w:before="1"/>
        <w:jc w:val="both"/>
      </w:pPr>
      <w:r>
        <w:t>Ostvarena sredstva u 202</w:t>
      </w:r>
      <w:r w:rsidR="009240E2">
        <w:t>5</w:t>
      </w:r>
      <w:r>
        <w:t xml:space="preserve">.g.: </w:t>
      </w:r>
      <w:r w:rsidR="009240E2">
        <w:t>575</w:t>
      </w:r>
      <w:r>
        <w:t>,00 EUR</w:t>
      </w:r>
    </w:p>
    <w:p w14:paraId="2CD130D0" w14:textId="77777777" w:rsidR="009326B1" w:rsidRDefault="009326B1" w:rsidP="009326B1">
      <w:pPr>
        <w:pStyle w:val="Zaglavlje"/>
        <w:jc w:val="both"/>
        <w:rPr>
          <w:sz w:val="22"/>
          <w:szCs w:val="22"/>
        </w:rPr>
      </w:pPr>
    </w:p>
    <w:p w14:paraId="7D41F779" w14:textId="6E6F92C2" w:rsidR="009240E2" w:rsidRPr="009240E2" w:rsidRDefault="009240E2" w:rsidP="009240E2">
      <w:pPr>
        <w:pStyle w:val="Tijeloteksta"/>
        <w:ind w:left="142" w:right="527"/>
      </w:pPr>
      <w:r w:rsidRPr="009240E2">
        <w:t>U razdoblju od 01.01.–3</w:t>
      </w:r>
      <w:r>
        <w:t>1</w:t>
      </w:r>
      <w:r w:rsidRPr="009240E2">
        <w:t>.</w:t>
      </w:r>
      <w:r>
        <w:t>12</w:t>
      </w:r>
      <w:r w:rsidRPr="009240E2">
        <w:t>.2025. godine utrošeno je 575,00 EUR za radove na mrtvačnici u Blagorodovcu.  Navedena sredstva utrošena su za geodetsko snimanje izgrađene mrtvačnice u Blagorodovcu – za potrebe dobivanja uporabne dozvole, u iznosu 375,00 EUR, te za ponovno ispitivanje niskonaponskih električnih</w:t>
      </w:r>
    </w:p>
    <w:p w14:paraId="66BFCD59" w14:textId="28BDDE10" w:rsidR="009240E2" w:rsidRPr="009240E2" w:rsidRDefault="009240E2" w:rsidP="009240E2">
      <w:pPr>
        <w:pStyle w:val="Tijeloteksta"/>
        <w:ind w:left="142" w:right="527"/>
      </w:pPr>
      <w:r w:rsidRPr="009240E2">
        <w:t>instalacija i gromobranske instalacije mrtvačnice u Blagorodovcu po isteku atesta, za dobivanje uporabne dozvole, u iznosu 200,00 EUR.</w:t>
      </w:r>
    </w:p>
    <w:p w14:paraId="69403C22" w14:textId="77777777" w:rsidR="00342389" w:rsidRDefault="00342389" w:rsidP="00B261C3">
      <w:pPr>
        <w:pStyle w:val="Tijeloteksta"/>
        <w:ind w:right="527"/>
        <w:jc w:val="both"/>
      </w:pPr>
    </w:p>
    <w:p w14:paraId="4E735EE7" w14:textId="4370129C" w:rsidR="00FA05B7" w:rsidRDefault="00342389" w:rsidP="00C34C22">
      <w:pPr>
        <w:pStyle w:val="Tijeloteksta"/>
        <w:ind w:right="527"/>
        <w:jc w:val="both"/>
      </w:pPr>
      <w:r>
        <w:t>Sredstva utrošena za financiranje gradnje mrtvačnice u Blagorodovcu financirana su iz izvora 431 – komunalna naknada, u cjelokupnom iznosu.</w:t>
      </w:r>
    </w:p>
    <w:p w14:paraId="7502B4B5" w14:textId="77777777" w:rsidR="00C34C22" w:rsidRPr="00C34C22" w:rsidRDefault="00C34C22" w:rsidP="00C34C22">
      <w:pPr>
        <w:pStyle w:val="Tijeloteksta"/>
        <w:ind w:right="527"/>
        <w:jc w:val="both"/>
      </w:pPr>
    </w:p>
    <w:p w14:paraId="50AF22B2" w14:textId="77777777" w:rsidR="009240E2" w:rsidRDefault="009240E2" w:rsidP="009326B1">
      <w:pPr>
        <w:pStyle w:val="Zaglavlje"/>
        <w:ind w:left="284" w:hanging="142"/>
        <w:jc w:val="both"/>
        <w:rPr>
          <w:b/>
          <w:bCs/>
          <w:sz w:val="22"/>
          <w:szCs w:val="22"/>
          <w:u w:val="single"/>
        </w:rPr>
      </w:pPr>
      <w:r w:rsidRPr="009240E2">
        <w:rPr>
          <w:b/>
          <w:bCs/>
          <w:sz w:val="22"/>
          <w:szCs w:val="22"/>
          <w:u w:val="single"/>
        </w:rPr>
        <w:t>Parkiralište kod mrtvačnice u Goveđem Polju</w:t>
      </w:r>
    </w:p>
    <w:p w14:paraId="39C18469" w14:textId="59BFBF58" w:rsidR="009326B1" w:rsidRDefault="009326B1" w:rsidP="009326B1">
      <w:pPr>
        <w:pStyle w:val="Zaglavlje"/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Planirana sredstva u 202</w:t>
      </w:r>
      <w:r w:rsidR="009240E2">
        <w:rPr>
          <w:sz w:val="22"/>
          <w:szCs w:val="22"/>
        </w:rPr>
        <w:t>5</w:t>
      </w:r>
      <w:r>
        <w:rPr>
          <w:sz w:val="22"/>
          <w:szCs w:val="22"/>
        </w:rPr>
        <w:t xml:space="preserve">.g.: </w:t>
      </w:r>
      <w:r w:rsidR="009240E2">
        <w:rPr>
          <w:sz w:val="22"/>
          <w:szCs w:val="22"/>
        </w:rPr>
        <w:t>5</w:t>
      </w:r>
      <w:r>
        <w:rPr>
          <w:sz w:val="22"/>
          <w:szCs w:val="22"/>
        </w:rPr>
        <w:t>00,00 EUR</w:t>
      </w:r>
    </w:p>
    <w:p w14:paraId="1243E588" w14:textId="0CF0F108" w:rsidR="00B261C3" w:rsidRDefault="00B261C3" w:rsidP="00B261C3">
      <w:pPr>
        <w:pStyle w:val="Tijeloteksta"/>
        <w:spacing w:before="1"/>
        <w:jc w:val="both"/>
      </w:pPr>
      <w:r>
        <w:t>Ostvarena sredstva u 202</w:t>
      </w:r>
      <w:r w:rsidR="009240E2">
        <w:t>5</w:t>
      </w:r>
      <w:r>
        <w:t xml:space="preserve">.g.: </w:t>
      </w:r>
      <w:r w:rsidR="009240E2">
        <w:t>500,00</w:t>
      </w:r>
      <w:r>
        <w:t xml:space="preserve"> EUR</w:t>
      </w:r>
    </w:p>
    <w:p w14:paraId="50017261" w14:textId="77777777" w:rsidR="009326B1" w:rsidRDefault="009326B1" w:rsidP="007D1BD5">
      <w:pPr>
        <w:pStyle w:val="Zaglavlje"/>
        <w:jc w:val="both"/>
        <w:rPr>
          <w:sz w:val="22"/>
          <w:szCs w:val="22"/>
        </w:rPr>
      </w:pPr>
    </w:p>
    <w:p w14:paraId="1F1F9E6C" w14:textId="396DBBB7" w:rsidR="005C75B6" w:rsidRPr="005C75B6" w:rsidRDefault="005C75B6" w:rsidP="005C75B6">
      <w:pPr>
        <w:pStyle w:val="Zaglavlje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ovom izvještajnom razdoblju </w:t>
      </w:r>
      <w:r w:rsidRPr="005C75B6">
        <w:rPr>
          <w:sz w:val="22"/>
          <w:szCs w:val="22"/>
        </w:rPr>
        <w:t>utrošeno je 500,00 EUR za radove na parkiralištu kod mrtvačnice u Goveđem Polju. Navedena sredstva su utrošena za izradu troškovnika i nacrta za uređenje parkirališta i asfaltiranih površina na parkiralištu kod mrtvačnice u Goveđem Polju.</w:t>
      </w:r>
    </w:p>
    <w:p w14:paraId="0249DBFC" w14:textId="77777777" w:rsidR="00B261C3" w:rsidRDefault="00B261C3" w:rsidP="009326B1">
      <w:pPr>
        <w:pStyle w:val="Zaglavlje"/>
        <w:ind w:left="142"/>
        <w:jc w:val="both"/>
        <w:rPr>
          <w:sz w:val="22"/>
          <w:szCs w:val="22"/>
        </w:rPr>
      </w:pPr>
    </w:p>
    <w:p w14:paraId="3245BF85" w14:textId="7C2E4214" w:rsidR="00B261C3" w:rsidRDefault="00B261C3" w:rsidP="00B261C3">
      <w:pPr>
        <w:pStyle w:val="Tijeloteksta"/>
        <w:spacing w:line="252" w:lineRule="exact"/>
        <w:ind w:left="113"/>
      </w:pPr>
      <w:r>
        <w:rPr>
          <w:color w:val="000009"/>
        </w:rPr>
        <w:t xml:space="preserve">Utrošena sredstva u iznosu </w:t>
      </w:r>
      <w:r w:rsidR="005C75B6">
        <w:rPr>
          <w:color w:val="000009"/>
        </w:rPr>
        <w:t>500,00</w:t>
      </w:r>
      <w:r>
        <w:rPr>
          <w:color w:val="000009"/>
        </w:rPr>
        <w:t xml:space="preserve"> EUR financirana su iz izvora </w:t>
      </w:r>
      <w:r w:rsidR="005C75B6">
        <w:t>43</w:t>
      </w:r>
      <w:r>
        <w:t xml:space="preserve">0 – </w:t>
      </w:r>
      <w:r w:rsidR="005C75B6">
        <w:t>ostali prihodi za posebne namjene</w:t>
      </w:r>
      <w:r>
        <w:t>, u cjelokupnom iznosu.</w:t>
      </w:r>
    </w:p>
    <w:p w14:paraId="7037B430" w14:textId="77777777" w:rsidR="00FA05B7" w:rsidRDefault="00FA05B7" w:rsidP="009326B1">
      <w:pPr>
        <w:pStyle w:val="Zaglavlje"/>
        <w:ind w:left="142" w:hanging="142"/>
        <w:jc w:val="both"/>
        <w:rPr>
          <w:sz w:val="22"/>
          <w:szCs w:val="22"/>
        </w:rPr>
      </w:pPr>
    </w:p>
    <w:p w14:paraId="45B15846" w14:textId="421B4D51" w:rsidR="009326B1" w:rsidRDefault="00342389" w:rsidP="009326B1">
      <w:pPr>
        <w:pStyle w:val="Zaglavlje"/>
        <w:ind w:left="284" w:hanging="142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Izrada prilaznog puta i parkinga na pravoslavnom groblju u Golubinjaku</w:t>
      </w:r>
    </w:p>
    <w:p w14:paraId="3F944FA5" w14:textId="72442D79" w:rsidR="009326B1" w:rsidRDefault="009326B1" w:rsidP="009326B1">
      <w:pPr>
        <w:pStyle w:val="Zaglavlje"/>
        <w:ind w:left="284" w:hanging="142"/>
        <w:jc w:val="both"/>
        <w:rPr>
          <w:sz w:val="22"/>
          <w:szCs w:val="22"/>
        </w:rPr>
      </w:pPr>
      <w:r>
        <w:rPr>
          <w:sz w:val="22"/>
          <w:szCs w:val="22"/>
        </w:rPr>
        <w:t>Planirana sredstva u 202</w:t>
      </w:r>
      <w:r w:rsidR="00081B23">
        <w:rPr>
          <w:sz w:val="22"/>
          <w:szCs w:val="22"/>
        </w:rPr>
        <w:t>5</w:t>
      </w:r>
      <w:r>
        <w:rPr>
          <w:sz w:val="22"/>
          <w:szCs w:val="22"/>
        </w:rPr>
        <w:t xml:space="preserve">.g.: </w:t>
      </w:r>
      <w:r w:rsidR="00081B23">
        <w:rPr>
          <w:sz w:val="22"/>
          <w:szCs w:val="22"/>
        </w:rPr>
        <w:t>2</w:t>
      </w:r>
      <w:r>
        <w:rPr>
          <w:sz w:val="22"/>
          <w:szCs w:val="22"/>
        </w:rPr>
        <w:t>0.000,00 EUR</w:t>
      </w:r>
    </w:p>
    <w:p w14:paraId="6F128CAE" w14:textId="0883543B" w:rsidR="00B261C3" w:rsidRDefault="00B261C3" w:rsidP="00B261C3">
      <w:pPr>
        <w:pStyle w:val="Tijeloteksta"/>
        <w:spacing w:before="1"/>
        <w:jc w:val="both"/>
      </w:pPr>
      <w:r>
        <w:t>Ostvarena sredstva u 202</w:t>
      </w:r>
      <w:r w:rsidR="00081B23">
        <w:t>5</w:t>
      </w:r>
      <w:r>
        <w:t xml:space="preserve">.g.: </w:t>
      </w:r>
      <w:r w:rsidR="00081B23">
        <w:t>19.426,70</w:t>
      </w:r>
      <w:r>
        <w:t xml:space="preserve"> EUR</w:t>
      </w:r>
    </w:p>
    <w:p w14:paraId="37C03B18" w14:textId="77777777" w:rsidR="009326B1" w:rsidRDefault="009326B1" w:rsidP="009326B1">
      <w:pPr>
        <w:pStyle w:val="Zaglavlje"/>
        <w:ind w:left="284" w:hanging="142"/>
        <w:jc w:val="both"/>
        <w:rPr>
          <w:sz w:val="22"/>
          <w:szCs w:val="22"/>
        </w:rPr>
      </w:pPr>
    </w:p>
    <w:p w14:paraId="0ABCC958" w14:textId="77777777" w:rsidR="00081B23" w:rsidRPr="00081B23" w:rsidRDefault="00081B23" w:rsidP="00081B23">
      <w:pPr>
        <w:pStyle w:val="Zaglavlje"/>
        <w:ind w:left="142"/>
        <w:jc w:val="both"/>
        <w:rPr>
          <w:sz w:val="22"/>
          <w:szCs w:val="22"/>
        </w:rPr>
      </w:pPr>
      <w:r w:rsidRPr="00081B23">
        <w:rPr>
          <w:sz w:val="22"/>
          <w:szCs w:val="22"/>
        </w:rPr>
        <w:t xml:space="preserve">U ovom izvještajnom razdoblju na izradu prilaznog puta i parkinga na pravoslavnom groblju u Golubinjaku utrošeno je 19.426,70 EUR. Navedena sredstva su utrošena za radove izvedene po okončanoj situaciji u iznosu 17.551,70 EUR, te za izvršene radove stručnog nadzora prema okončanoj situaciji, u iznosu 1.875,00 EUR. </w:t>
      </w:r>
    </w:p>
    <w:p w14:paraId="126629CC" w14:textId="77777777" w:rsidR="00081B23" w:rsidRDefault="00081B23" w:rsidP="0005175C">
      <w:pPr>
        <w:pStyle w:val="Tijeloteksta"/>
        <w:spacing w:line="252" w:lineRule="exact"/>
        <w:ind w:left="113"/>
        <w:jc w:val="both"/>
        <w:rPr>
          <w:color w:val="000009"/>
        </w:rPr>
      </w:pPr>
    </w:p>
    <w:p w14:paraId="74375236" w14:textId="0942B768" w:rsidR="00956FA0" w:rsidRDefault="00956FA0" w:rsidP="0005175C">
      <w:pPr>
        <w:pStyle w:val="Tijeloteksta"/>
        <w:spacing w:line="252" w:lineRule="exact"/>
        <w:ind w:left="113"/>
        <w:jc w:val="both"/>
      </w:pPr>
      <w:r>
        <w:rPr>
          <w:color w:val="000009"/>
        </w:rPr>
        <w:t xml:space="preserve">Utrošena sredstva u iznosu </w:t>
      </w:r>
      <w:r w:rsidR="00081B23">
        <w:rPr>
          <w:color w:val="000009"/>
        </w:rPr>
        <w:t>19.426,70</w:t>
      </w:r>
      <w:r>
        <w:rPr>
          <w:color w:val="000009"/>
        </w:rPr>
        <w:t xml:space="preserve"> EUR financirana su iz izvora </w:t>
      </w:r>
      <w:r w:rsidR="00400060">
        <w:rPr>
          <w:color w:val="000009"/>
        </w:rPr>
        <w:t>11</w:t>
      </w:r>
      <w:r>
        <w:t xml:space="preserve">0 – </w:t>
      </w:r>
      <w:r w:rsidR="00400060">
        <w:t>opći prihodi i primici</w:t>
      </w:r>
      <w:r>
        <w:t>, u cjelokupnom iznosu.</w:t>
      </w:r>
    </w:p>
    <w:p w14:paraId="741A57AC" w14:textId="77777777" w:rsidR="00FA05B7" w:rsidRDefault="00FA05B7" w:rsidP="009326B1">
      <w:pPr>
        <w:pStyle w:val="Zaglavlje"/>
        <w:ind w:left="142" w:hanging="142"/>
        <w:jc w:val="both"/>
        <w:rPr>
          <w:sz w:val="22"/>
          <w:szCs w:val="22"/>
        </w:rPr>
      </w:pPr>
    </w:p>
    <w:p w14:paraId="3CEAADFD" w14:textId="2582563F" w:rsidR="00081B23" w:rsidRPr="00081B23" w:rsidRDefault="00A542E1" w:rsidP="00081B23">
      <w:pPr>
        <w:pStyle w:val="Zaglavlje"/>
      </w:pPr>
      <w:r>
        <w:rPr>
          <w:sz w:val="22"/>
          <w:szCs w:val="22"/>
        </w:rPr>
        <w:t xml:space="preserve">  </w:t>
      </w:r>
      <w:r w:rsidR="00081B23" w:rsidRPr="00081B23">
        <w:rPr>
          <w:b/>
          <w:bCs/>
          <w:u w:val="single"/>
        </w:rPr>
        <w:t>Nogostup u Ivanovom Polju</w:t>
      </w:r>
      <w:r w:rsidR="00081B23" w:rsidRPr="00081B23">
        <w:rPr>
          <w:b/>
          <w:bCs/>
          <w:u w:val="single"/>
        </w:rPr>
        <w:br/>
      </w:r>
      <w:r w:rsidR="00081B23" w:rsidRPr="00081B23">
        <w:t xml:space="preserve">  Planirana sredstva u 2025.g.: </w:t>
      </w:r>
      <w:r w:rsidR="007A1D3A">
        <w:t>8.500,00</w:t>
      </w:r>
      <w:r w:rsidR="00081B23" w:rsidRPr="00081B23">
        <w:t xml:space="preserve"> EUR</w:t>
      </w:r>
    </w:p>
    <w:p w14:paraId="1221999B" w14:textId="505F9BA8" w:rsidR="00081B23" w:rsidRPr="00081B23" w:rsidRDefault="00081B23" w:rsidP="00081B23">
      <w:pPr>
        <w:spacing w:line="252" w:lineRule="exact"/>
      </w:pPr>
      <w:r w:rsidRPr="00081B23">
        <w:rPr>
          <w:color w:val="000009"/>
        </w:rPr>
        <w:t xml:space="preserve">  Utrošena sredstva 2025.g.: </w:t>
      </w:r>
      <w:r w:rsidR="007A1D3A">
        <w:rPr>
          <w:color w:val="000009"/>
        </w:rPr>
        <w:t>8.437,50</w:t>
      </w:r>
      <w:r w:rsidRPr="00081B23">
        <w:rPr>
          <w:color w:val="000009"/>
        </w:rPr>
        <w:t xml:space="preserve"> EUR</w:t>
      </w:r>
    </w:p>
    <w:p w14:paraId="2E0E88DB" w14:textId="77777777" w:rsidR="00081B23" w:rsidRPr="00081B23" w:rsidRDefault="00081B23" w:rsidP="00081B23">
      <w:pPr>
        <w:ind w:left="142" w:hanging="142"/>
        <w:rPr>
          <w:b/>
          <w:bCs/>
          <w:u w:val="single"/>
        </w:rPr>
      </w:pPr>
    </w:p>
    <w:p w14:paraId="55733219" w14:textId="12AF53D4" w:rsidR="00081B23" w:rsidRDefault="00081B23" w:rsidP="00081B23">
      <w:pPr>
        <w:ind w:left="142" w:hanging="142"/>
      </w:pPr>
      <w:r w:rsidRPr="00081B23">
        <w:rPr>
          <w:b/>
          <w:bCs/>
        </w:rPr>
        <w:t xml:space="preserve">  </w:t>
      </w:r>
      <w:r w:rsidRPr="00081B23">
        <w:t>U ovom izvještajnom razdoblju na izradu nogostupa u Ivanovom Polju utrošeno je 3.187,50 EUR. Navedena sredstva su utrošena za terensku izmjeru i izradu postojeće geodetske situacije za potrebe projektiranja postojećeg nogostupa u Ivanovom Polju</w:t>
      </w:r>
      <w:r>
        <w:t xml:space="preserve"> te za </w:t>
      </w:r>
      <w:r w:rsidRPr="00081B23">
        <w:t>izrad</w:t>
      </w:r>
      <w:r>
        <w:t>u</w:t>
      </w:r>
      <w:r w:rsidRPr="00081B23">
        <w:t xml:space="preserve"> tehničke dokumentacije za izgradnju pješačke staze u Ivanovom Polju</w:t>
      </w:r>
      <w:r>
        <w:t>.</w:t>
      </w:r>
    </w:p>
    <w:p w14:paraId="2F6A7E49" w14:textId="77777777" w:rsidR="00081B23" w:rsidRPr="00081B23" w:rsidRDefault="00081B23" w:rsidP="00081B23">
      <w:pPr>
        <w:ind w:left="142" w:hanging="142"/>
      </w:pPr>
    </w:p>
    <w:p w14:paraId="3F55D86D" w14:textId="184DD526" w:rsidR="00081B23" w:rsidRDefault="00081B23" w:rsidP="00081B23">
      <w:pPr>
        <w:ind w:left="142" w:hanging="30"/>
        <w:jc w:val="both"/>
      </w:pPr>
      <w:r w:rsidRPr="00081B23">
        <w:t>Utrošena sredstva su u cjelokupnom iznosu financirana iz izvora 4</w:t>
      </w:r>
      <w:r w:rsidR="00C34C22">
        <w:t>3</w:t>
      </w:r>
      <w:r w:rsidRPr="00081B23">
        <w:t>0 – prihodi za posebne namjene.</w:t>
      </w:r>
    </w:p>
    <w:p w14:paraId="243551E8" w14:textId="77777777" w:rsidR="00C34C22" w:rsidRPr="00081B23" w:rsidRDefault="00C34C22" w:rsidP="00081B23">
      <w:pPr>
        <w:ind w:left="142" w:hanging="30"/>
        <w:jc w:val="both"/>
      </w:pPr>
    </w:p>
    <w:p w14:paraId="0C178ACB" w14:textId="77777777" w:rsidR="00081B23" w:rsidRPr="00081B23" w:rsidRDefault="00081B23" w:rsidP="00081B23">
      <w:pPr>
        <w:ind w:left="142" w:hanging="30"/>
        <w:jc w:val="both"/>
        <w:rPr>
          <w:b/>
          <w:bCs/>
          <w:u w:val="single"/>
        </w:rPr>
      </w:pPr>
      <w:r w:rsidRPr="00081B23">
        <w:rPr>
          <w:b/>
          <w:bCs/>
          <w:u w:val="single"/>
        </w:rPr>
        <w:t>Nogostup na groblju u Sokolovcu</w:t>
      </w:r>
    </w:p>
    <w:p w14:paraId="7E345466" w14:textId="45C1E3C9" w:rsidR="00081B23" w:rsidRPr="00081B23" w:rsidRDefault="00081B23" w:rsidP="00081B23">
      <w:pPr>
        <w:ind w:left="142" w:hanging="30"/>
        <w:jc w:val="both"/>
      </w:pPr>
      <w:r w:rsidRPr="00081B23">
        <w:t xml:space="preserve">Planirana sredstva u 2025.g.: </w:t>
      </w:r>
      <w:r w:rsidR="004D6908">
        <w:t>15.765,00</w:t>
      </w:r>
      <w:r w:rsidRPr="00081B23">
        <w:t xml:space="preserve"> EUR</w:t>
      </w:r>
    </w:p>
    <w:p w14:paraId="3896D846" w14:textId="46BD2011" w:rsidR="00081B23" w:rsidRPr="00081B23" w:rsidRDefault="00081B23" w:rsidP="00081B23">
      <w:pPr>
        <w:ind w:left="142" w:hanging="30"/>
        <w:jc w:val="both"/>
      </w:pPr>
      <w:r w:rsidRPr="00081B23">
        <w:t>Utrošena sredstva 2025.g.: 15.765,00 EUR</w:t>
      </w:r>
    </w:p>
    <w:p w14:paraId="0DF3BBCA" w14:textId="77777777" w:rsidR="00081B23" w:rsidRPr="00081B23" w:rsidRDefault="00081B23" w:rsidP="00081B23">
      <w:pPr>
        <w:ind w:left="142" w:hanging="30"/>
        <w:jc w:val="both"/>
      </w:pPr>
    </w:p>
    <w:p w14:paraId="5A77FD5D" w14:textId="77777777" w:rsidR="00081B23" w:rsidRPr="00081B23" w:rsidRDefault="00081B23" w:rsidP="00081B23">
      <w:pPr>
        <w:ind w:left="142" w:hanging="30"/>
        <w:jc w:val="both"/>
      </w:pPr>
      <w:r w:rsidRPr="00081B23">
        <w:t xml:space="preserve">U ovom izvještajnom razdoblju utrošena su sredstva za izradu staze kroz groblje u Sokolovcu u iznosu 8.277,50 EUR (strojni iskop zemlje, odvoz otpadnog materijala, uređenje temeljnog tla mehaničkim zbijanjem vezana tla, izrada posteljice, nabava, dobava i ugradnja </w:t>
      </w:r>
      <w:proofErr w:type="spellStart"/>
      <w:r w:rsidRPr="00081B23">
        <w:t>geotekstila</w:t>
      </w:r>
      <w:proofErr w:type="spellEnd"/>
      <w:r w:rsidRPr="00081B23">
        <w:t xml:space="preserve"> i izrada nosivog sloja od mehanički stabiliziranog drobljenog kamenog materijala) te postavljanje rubnjaka uz rub staze kroz groblje u Sokolovcu u iznosu od 7.487,50 EUR.</w:t>
      </w:r>
    </w:p>
    <w:p w14:paraId="483FAF7A" w14:textId="77777777" w:rsidR="00081B23" w:rsidRPr="00081B23" w:rsidRDefault="00081B23" w:rsidP="00081B23">
      <w:pPr>
        <w:ind w:left="142" w:hanging="30"/>
        <w:jc w:val="both"/>
      </w:pPr>
      <w:r w:rsidRPr="00081B23">
        <w:t xml:space="preserve"> </w:t>
      </w:r>
    </w:p>
    <w:p w14:paraId="32539036" w14:textId="77777777" w:rsidR="00081B23" w:rsidRPr="00081B23" w:rsidRDefault="00081B23" w:rsidP="00081B23">
      <w:pPr>
        <w:ind w:left="142" w:hanging="30"/>
        <w:jc w:val="both"/>
        <w:rPr>
          <w:color w:val="000009"/>
        </w:rPr>
      </w:pPr>
      <w:r w:rsidRPr="00081B23">
        <w:rPr>
          <w:color w:val="000009"/>
        </w:rPr>
        <w:t>Sredstva utrošena po ovoj aktivnosti financirana su iz izvora 110- opći prihodi i primici, u cjelokupnom iznosu</w:t>
      </w:r>
    </w:p>
    <w:p w14:paraId="4AD02DD3" w14:textId="77777777" w:rsidR="00081B23" w:rsidRPr="00081B23" w:rsidRDefault="00081B23" w:rsidP="00081B23">
      <w:pPr>
        <w:ind w:left="142" w:hanging="30"/>
        <w:jc w:val="both"/>
      </w:pPr>
    </w:p>
    <w:p w14:paraId="2F7AD90F" w14:textId="72B3A3D8" w:rsidR="00081B23" w:rsidRPr="00081B23" w:rsidRDefault="00081B23" w:rsidP="00081B23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rPr>
          <w:lang w:val="en-US" w:eastAsia="hr-HR"/>
        </w:rPr>
      </w:pPr>
      <w:r w:rsidRPr="00081B23">
        <w:rPr>
          <w:sz w:val="24"/>
          <w:szCs w:val="24"/>
          <w:lang w:val="en-US" w:eastAsia="hr-HR"/>
        </w:rPr>
        <w:t xml:space="preserve">  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Parkiralište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na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groblju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u Trojeglavi</w:t>
      </w:r>
      <w:r w:rsidRPr="00081B23">
        <w:rPr>
          <w:b/>
          <w:bCs/>
          <w:sz w:val="24"/>
          <w:szCs w:val="24"/>
          <w:u w:val="single"/>
          <w:lang w:val="en-US" w:eastAsia="hr-HR"/>
        </w:rPr>
        <w:br/>
      </w:r>
      <w:r w:rsidRPr="00081B23">
        <w:rPr>
          <w:lang w:val="en-US" w:eastAsia="hr-HR"/>
        </w:rPr>
        <w:t xml:space="preserve">   </w:t>
      </w:r>
      <w:proofErr w:type="spellStart"/>
      <w:r w:rsidRPr="00081B23">
        <w:rPr>
          <w:lang w:val="en-US" w:eastAsia="hr-HR"/>
        </w:rPr>
        <w:t>Planirana</w:t>
      </w:r>
      <w:proofErr w:type="spellEnd"/>
      <w:r w:rsidRPr="00081B23">
        <w:rPr>
          <w:lang w:val="en-US" w:eastAsia="hr-HR"/>
        </w:rPr>
        <w:t xml:space="preserve"> </w:t>
      </w:r>
      <w:proofErr w:type="spellStart"/>
      <w:r w:rsidRPr="00081B23">
        <w:rPr>
          <w:lang w:val="en-US" w:eastAsia="hr-HR"/>
        </w:rPr>
        <w:t>sredstva</w:t>
      </w:r>
      <w:proofErr w:type="spellEnd"/>
      <w:r w:rsidRPr="00081B23">
        <w:rPr>
          <w:lang w:val="en-US" w:eastAsia="hr-HR"/>
        </w:rPr>
        <w:t xml:space="preserve"> u 2025.g.: </w:t>
      </w:r>
      <w:r w:rsidR="004D6908">
        <w:rPr>
          <w:lang w:val="en-US" w:eastAsia="hr-HR"/>
        </w:rPr>
        <w:t>50</w:t>
      </w:r>
      <w:r w:rsidRPr="00081B23">
        <w:rPr>
          <w:lang w:val="en-US" w:eastAsia="hr-HR"/>
        </w:rPr>
        <w:t>0,00 EUR</w:t>
      </w:r>
    </w:p>
    <w:p w14:paraId="16E5F363" w14:textId="3A4C79F9" w:rsidR="00081B23" w:rsidRPr="00081B23" w:rsidRDefault="00081B23" w:rsidP="00081B23">
      <w:pPr>
        <w:spacing w:line="252" w:lineRule="exact"/>
        <w:rPr>
          <w:color w:val="000009"/>
        </w:rPr>
      </w:pPr>
      <w:r w:rsidRPr="00081B23">
        <w:rPr>
          <w:color w:val="000009"/>
        </w:rPr>
        <w:t xml:space="preserve">   Utrošena sredstva 2025.g.: 500,00 EUR</w:t>
      </w:r>
    </w:p>
    <w:p w14:paraId="0EB6D5C4" w14:textId="77777777" w:rsidR="00081B23" w:rsidRPr="00081B23" w:rsidRDefault="00081B23" w:rsidP="00081B23">
      <w:pPr>
        <w:jc w:val="both"/>
      </w:pPr>
    </w:p>
    <w:p w14:paraId="1733678B" w14:textId="58365045" w:rsidR="00081B23" w:rsidRPr="00081B23" w:rsidRDefault="00081B23" w:rsidP="00C34C22">
      <w:pPr>
        <w:spacing w:line="252" w:lineRule="exact"/>
        <w:ind w:left="142"/>
        <w:jc w:val="both"/>
        <w:rPr>
          <w:color w:val="000009"/>
        </w:rPr>
      </w:pPr>
      <w:r w:rsidRPr="00081B23">
        <w:rPr>
          <w:color w:val="000009"/>
        </w:rPr>
        <w:t xml:space="preserve">U </w:t>
      </w:r>
      <w:r w:rsidR="004D6908">
        <w:rPr>
          <w:color w:val="000009"/>
        </w:rPr>
        <w:t>ovom izvještajnom razdoblju</w:t>
      </w:r>
      <w:r w:rsidRPr="00081B23">
        <w:rPr>
          <w:color w:val="000009"/>
        </w:rPr>
        <w:t xml:space="preserve"> utrošeno je 500,00 EUR za izradu troškovnika i nacrta za uređenje</w:t>
      </w:r>
      <w:r w:rsidR="004D6908">
        <w:rPr>
          <w:color w:val="000009"/>
        </w:rPr>
        <w:t xml:space="preserve"> </w:t>
      </w:r>
      <w:r w:rsidRPr="00081B23">
        <w:rPr>
          <w:color w:val="000009"/>
        </w:rPr>
        <w:t>parkirališta i asfaltiranih površina na parkiralištu na groblju u Trojeglavi.</w:t>
      </w:r>
    </w:p>
    <w:p w14:paraId="66ADAD26" w14:textId="77777777" w:rsidR="00081B23" w:rsidRPr="00081B23" w:rsidRDefault="00081B23" w:rsidP="00C34C22">
      <w:pPr>
        <w:spacing w:line="252" w:lineRule="exact"/>
        <w:ind w:left="142"/>
        <w:jc w:val="both"/>
        <w:rPr>
          <w:color w:val="000009"/>
        </w:rPr>
      </w:pPr>
    </w:p>
    <w:p w14:paraId="2FD87820" w14:textId="77777777" w:rsidR="00081B23" w:rsidRPr="00081B23" w:rsidRDefault="00081B23" w:rsidP="00C34C22">
      <w:pPr>
        <w:spacing w:line="252" w:lineRule="exact"/>
        <w:ind w:left="142"/>
        <w:jc w:val="both"/>
        <w:rPr>
          <w:color w:val="000009"/>
        </w:rPr>
      </w:pPr>
      <w:r w:rsidRPr="00081B23">
        <w:rPr>
          <w:color w:val="000009"/>
        </w:rPr>
        <w:t>Sredstva utrošena u ovom izvještajnom razdoblju financirana su iz izvora 430 – ostali prihodi za posebne namjene, u cjelokupnom iznosu.</w:t>
      </w:r>
    </w:p>
    <w:p w14:paraId="78A7EEFE" w14:textId="77777777" w:rsidR="00081B23" w:rsidRPr="00081B23" w:rsidRDefault="00081B23" w:rsidP="00081B23">
      <w:pPr>
        <w:jc w:val="both"/>
      </w:pPr>
    </w:p>
    <w:p w14:paraId="5D888F8A" w14:textId="5AD8CD5F" w:rsidR="00081B23" w:rsidRPr="00081B23" w:rsidRDefault="00081B23" w:rsidP="00081B23">
      <w:pPr>
        <w:widowControl/>
        <w:tabs>
          <w:tab w:val="center" w:pos="4536"/>
          <w:tab w:val="right" w:pos="9072"/>
        </w:tabs>
        <w:suppressAutoHyphens/>
        <w:overflowPunct w:val="0"/>
        <w:autoSpaceDE/>
        <w:autoSpaceDN/>
        <w:rPr>
          <w:lang w:val="en-US" w:eastAsia="hr-HR"/>
        </w:rPr>
      </w:pPr>
      <w:r w:rsidRPr="00081B23">
        <w:rPr>
          <w:b/>
          <w:bCs/>
          <w:i/>
          <w:iCs/>
          <w:sz w:val="24"/>
          <w:szCs w:val="24"/>
          <w:lang w:val="en-US" w:eastAsia="hr-HR"/>
        </w:rPr>
        <w:t xml:space="preserve">  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Parkiralište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kod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doma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u </w:t>
      </w:r>
      <w:proofErr w:type="spellStart"/>
      <w:r w:rsidRPr="00081B23">
        <w:rPr>
          <w:b/>
          <w:bCs/>
          <w:sz w:val="24"/>
          <w:szCs w:val="24"/>
          <w:u w:val="single"/>
          <w:lang w:val="en-US" w:eastAsia="hr-HR"/>
        </w:rPr>
        <w:t>Gornjim</w:t>
      </w:r>
      <w:proofErr w:type="spellEnd"/>
      <w:r w:rsidRPr="00081B23">
        <w:rPr>
          <w:b/>
          <w:bCs/>
          <w:sz w:val="24"/>
          <w:szCs w:val="24"/>
          <w:u w:val="single"/>
          <w:lang w:val="en-US" w:eastAsia="hr-HR"/>
        </w:rPr>
        <w:t xml:space="preserve"> Sređanima</w:t>
      </w:r>
      <w:r w:rsidRPr="00081B23">
        <w:rPr>
          <w:b/>
          <w:bCs/>
          <w:sz w:val="24"/>
          <w:szCs w:val="24"/>
          <w:u w:val="single"/>
          <w:lang w:val="en-US" w:eastAsia="hr-HR"/>
        </w:rPr>
        <w:br/>
      </w:r>
      <w:r w:rsidRPr="00081B23">
        <w:rPr>
          <w:lang w:val="en-US" w:eastAsia="hr-HR"/>
        </w:rPr>
        <w:t xml:space="preserve">   </w:t>
      </w:r>
      <w:proofErr w:type="spellStart"/>
      <w:r w:rsidRPr="00081B23">
        <w:rPr>
          <w:lang w:val="en-US" w:eastAsia="hr-HR"/>
        </w:rPr>
        <w:t>Planirana</w:t>
      </w:r>
      <w:proofErr w:type="spellEnd"/>
      <w:r w:rsidRPr="00081B23">
        <w:rPr>
          <w:lang w:val="en-US" w:eastAsia="hr-HR"/>
        </w:rPr>
        <w:t xml:space="preserve"> </w:t>
      </w:r>
      <w:proofErr w:type="spellStart"/>
      <w:r w:rsidRPr="00081B23">
        <w:rPr>
          <w:lang w:val="en-US" w:eastAsia="hr-HR"/>
        </w:rPr>
        <w:t>sredstva</w:t>
      </w:r>
      <w:proofErr w:type="spellEnd"/>
      <w:r w:rsidRPr="00081B23">
        <w:rPr>
          <w:lang w:val="en-US" w:eastAsia="hr-HR"/>
        </w:rPr>
        <w:t xml:space="preserve"> u 2025.g.: </w:t>
      </w:r>
      <w:r w:rsidR="004D6908">
        <w:rPr>
          <w:lang w:val="en-US" w:eastAsia="hr-HR"/>
        </w:rPr>
        <w:t>50</w:t>
      </w:r>
      <w:r w:rsidRPr="00081B23">
        <w:rPr>
          <w:lang w:val="en-US" w:eastAsia="hr-HR"/>
        </w:rPr>
        <w:t>0,00 EUR</w:t>
      </w:r>
    </w:p>
    <w:p w14:paraId="5AF79858" w14:textId="36B23C8F" w:rsidR="00081B23" w:rsidRPr="00081B23" w:rsidRDefault="00081B23" w:rsidP="00081B23">
      <w:pPr>
        <w:spacing w:line="252" w:lineRule="exact"/>
        <w:rPr>
          <w:color w:val="000009"/>
        </w:rPr>
      </w:pPr>
      <w:r w:rsidRPr="00081B23">
        <w:rPr>
          <w:color w:val="000009"/>
        </w:rPr>
        <w:t xml:space="preserve">   Utrošena sredstva 2025.g.: 500,00 EUR</w:t>
      </w:r>
    </w:p>
    <w:p w14:paraId="679C416E" w14:textId="77777777" w:rsidR="00081B23" w:rsidRPr="00081B23" w:rsidRDefault="00081B23" w:rsidP="00081B23">
      <w:pPr>
        <w:jc w:val="both"/>
      </w:pPr>
    </w:p>
    <w:p w14:paraId="70871484" w14:textId="63F853F9" w:rsidR="00081B23" w:rsidRPr="00081B23" w:rsidRDefault="00081B23" w:rsidP="00C34C22">
      <w:pPr>
        <w:spacing w:line="252" w:lineRule="exact"/>
        <w:ind w:left="142"/>
        <w:jc w:val="both"/>
        <w:rPr>
          <w:color w:val="000009"/>
        </w:rPr>
      </w:pPr>
      <w:r w:rsidRPr="00081B23">
        <w:rPr>
          <w:color w:val="000009"/>
        </w:rPr>
        <w:t>U razdoblju od 01.01. – 3</w:t>
      </w:r>
      <w:r w:rsidR="00061579">
        <w:rPr>
          <w:color w:val="000009"/>
        </w:rPr>
        <w:t>1</w:t>
      </w:r>
      <w:r w:rsidRPr="00081B23">
        <w:rPr>
          <w:color w:val="000009"/>
        </w:rPr>
        <w:t>.</w:t>
      </w:r>
      <w:r w:rsidR="00061579">
        <w:rPr>
          <w:color w:val="000009"/>
        </w:rPr>
        <w:t>12</w:t>
      </w:r>
      <w:r w:rsidRPr="00081B23">
        <w:rPr>
          <w:color w:val="000009"/>
        </w:rPr>
        <w:t>.2025. godine utrošeno je 500,00 EUR za izradu troškovnika i nacrta za uređenje    parkirališta i asfaltiranih površina na parkiralištu kod doma u Gornjim Sređanima.</w:t>
      </w:r>
    </w:p>
    <w:p w14:paraId="092AF9F4" w14:textId="77777777" w:rsidR="00081B23" w:rsidRPr="00081B23" w:rsidRDefault="00081B23" w:rsidP="00C34C22">
      <w:pPr>
        <w:spacing w:line="252" w:lineRule="exact"/>
        <w:ind w:left="142"/>
        <w:jc w:val="both"/>
        <w:rPr>
          <w:color w:val="000009"/>
        </w:rPr>
      </w:pPr>
    </w:p>
    <w:p w14:paraId="690B971B" w14:textId="77777777" w:rsidR="00081B23" w:rsidRPr="00081B23" w:rsidRDefault="00081B23" w:rsidP="00C34C22">
      <w:pPr>
        <w:spacing w:line="252" w:lineRule="exact"/>
        <w:ind w:left="142"/>
        <w:jc w:val="both"/>
        <w:rPr>
          <w:color w:val="000009"/>
        </w:rPr>
      </w:pPr>
      <w:r w:rsidRPr="00081B23">
        <w:rPr>
          <w:color w:val="000009"/>
        </w:rPr>
        <w:t>Sredstva utrošena u ovom izvještajnom razdoblju financirana su iz izvora 430 – ostali prihodi za posebne namjene, u cjelokupnom iznosu.</w:t>
      </w:r>
    </w:p>
    <w:p w14:paraId="54C4C5CB" w14:textId="77777777" w:rsidR="00956FA0" w:rsidRDefault="00956FA0" w:rsidP="00C34C22">
      <w:pPr>
        <w:pStyle w:val="Zaglavlje"/>
        <w:jc w:val="both"/>
        <w:rPr>
          <w:sz w:val="22"/>
          <w:szCs w:val="22"/>
        </w:rPr>
      </w:pPr>
    </w:p>
    <w:p w14:paraId="48625354" w14:textId="2A3BDADF" w:rsidR="009326B1" w:rsidRDefault="009326B1" w:rsidP="009326B1">
      <w:pPr>
        <w:pStyle w:val="Zaglavlje"/>
        <w:rPr>
          <w:b/>
          <w:bCs/>
        </w:rPr>
      </w:pPr>
      <w:r w:rsidRPr="00C405B2">
        <w:rPr>
          <w:b/>
          <w:bCs/>
        </w:rPr>
        <w:t>Tablični prikaz</w:t>
      </w:r>
    </w:p>
    <w:p w14:paraId="1EE22DBF" w14:textId="77777777" w:rsidR="00C34C22" w:rsidRPr="00C34C22" w:rsidRDefault="00C34C22" w:rsidP="009326B1">
      <w:pPr>
        <w:pStyle w:val="Zaglavlje"/>
        <w:rPr>
          <w:b/>
          <w:bCs/>
        </w:rPr>
      </w:pPr>
    </w:p>
    <w:tbl>
      <w:tblPr>
        <w:tblW w:w="1000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"/>
        <w:gridCol w:w="3748"/>
        <w:gridCol w:w="2126"/>
        <w:gridCol w:w="2268"/>
        <w:gridCol w:w="1418"/>
      </w:tblGrid>
      <w:tr w:rsidR="009326B1" w:rsidRPr="00C34C22" w14:paraId="4192B7A3" w14:textId="77777777" w:rsidTr="00FA05B7">
        <w:trPr>
          <w:trHeight w:val="657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3A1EA" w14:textId="77777777" w:rsidR="009326B1" w:rsidRPr="00C34C22" w:rsidRDefault="009326B1" w:rsidP="009326B1">
            <w:pPr>
              <w:pStyle w:val="Sadrajitablice"/>
              <w:rPr>
                <w:b/>
                <w:bCs/>
                <w:lang w:eastAsia="en-US"/>
              </w:rPr>
            </w:pPr>
            <w:r w:rsidRPr="00C34C22">
              <w:rPr>
                <w:b/>
                <w:bCs/>
                <w:lang w:eastAsia="en-US"/>
              </w:rPr>
              <w:t>Rb.</w:t>
            </w: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5079D80" w14:textId="77777777" w:rsidR="009326B1" w:rsidRPr="00C34C22" w:rsidRDefault="009326B1" w:rsidP="009326B1">
            <w:pPr>
              <w:pStyle w:val="Sadrajitablice"/>
              <w:rPr>
                <w:b/>
                <w:bCs/>
                <w:lang w:eastAsia="en-US"/>
              </w:rPr>
            </w:pPr>
            <w:proofErr w:type="spellStart"/>
            <w:r w:rsidRPr="00C34C22">
              <w:rPr>
                <w:b/>
                <w:bCs/>
                <w:lang w:eastAsia="en-US"/>
              </w:rPr>
              <w:t>Naziv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34DEE2B" w14:textId="5F1A9DC0" w:rsidR="009326B1" w:rsidRPr="00C34C22" w:rsidRDefault="009326B1" w:rsidP="009326B1">
            <w:pPr>
              <w:pStyle w:val="TableParagraph"/>
              <w:spacing w:line="240" w:lineRule="auto"/>
              <w:ind w:right="362"/>
              <w:jc w:val="center"/>
              <w:rPr>
                <w:b/>
                <w:sz w:val="20"/>
                <w:szCs w:val="20"/>
              </w:rPr>
            </w:pPr>
            <w:r w:rsidRPr="00C34C22">
              <w:rPr>
                <w:b/>
                <w:sz w:val="20"/>
                <w:szCs w:val="20"/>
              </w:rPr>
              <w:t>Plan za 202</w:t>
            </w:r>
            <w:r w:rsidR="00C405B2" w:rsidRPr="00C34C22">
              <w:rPr>
                <w:b/>
                <w:sz w:val="20"/>
                <w:szCs w:val="20"/>
              </w:rPr>
              <w:t>5</w:t>
            </w:r>
            <w:r w:rsidRPr="00C34C22">
              <w:rPr>
                <w:b/>
                <w:sz w:val="20"/>
                <w:szCs w:val="20"/>
              </w:rPr>
              <w:t>.g.</w:t>
            </w:r>
          </w:p>
          <w:p w14:paraId="6031E4FB" w14:textId="4A790E74" w:rsidR="009326B1" w:rsidRPr="00C34C22" w:rsidRDefault="009326B1" w:rsidP="009326B1">
            <w:pPr>
              <w:pStyle w:val="Sadrajitablice"/>
              <w:jc w:val="center"/>
              <w:rPr>
                <w:b/>
                <w:bCs/>
                <w:lang w:eastAsia="en-US"/>
              </w:rPr>
            </w:pPr>
            <w:r w:rsidRPr="00C34C22">
              <w:rPr>
                <w:b/>
              </w:rPr>
              <w:t>(EUR)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EF1257" w14:textId="20B52076" w:rsidR="009326B1" w:rsidRPr="00C34C22" w:rsidRDefault="009326B1" w:rsidP="009326B1">
            <w:pPr>
              <w:pStyle w:val="Sadrajitablice"/>
              <w:jc w:val="center"/>
              <w:rPr>
                <w:b/>
                <w:bCs/>
                <w:lang w:eastAsia="en-US"/>
              </w:rPr>
            </w:pPr>
            <w:proofErr w:type="spellStart"/>
            <w:r w:rsidRPr="00C34C22">
              <w:rPr>
                <w:b/>
              </w:rPr>
              <w:t>Ostvareno</w:t>
            </w:r>
            <w:proofErr w:type="spellEnd"/>
            <w:r w:rsidRPr="00C34C22">
              <w:rPr>
                <w:b/>
              </w:rPr>
              <w:t xml:space="preserve"> u 202</w:t>
            </w:r>
            <w:r w:rsidR="00C405B2" w:rsidRPr="00C34C22">
              <w:rPr>
                <w:b/>
              </w:rPr>
              <w:t>5</w:t>
            </w:r>
            <w:r w:rsidRPr="00C34C22">
              <w:rPr>
                <w:b/>
              </w:rPr>
              <w:t>.g. (EUR)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6277B3" w14:textId="71022C97" w:rsidR="009326B1" w:rsidRPr="00C34C22" w:rsidRDefault="009326B1" w:rsidP="009326B1">
            <w:pPr>
              <w:pStyle w:val="Sadrajitablice"/>
              <w:jc w:val="center"/>
              <w:rPr>
                <w:b/>
                <w:bCs/>
                <w:lang w:eastAsia="en-US"/>
              </w:rPr>
            </w:pPr>
            <w:proofErr w:type="spellStart"/>
            <w:r w:rsidRPr="00C34C22">
              <w:rPr>
                <w:b/>
              </w:rPr>
              <w:t>Indeks</w:t>
            </w:r>
            <w:proofErr w:type="spellEnd"/>
            <w:r w:rsidRPr="00C34C22">
              <w:rPr>
                <w:b/>
              </w:rPr>
              <w:t xml:space="preserve"> u %</w:t>
            </w:r>
          </w:p>
        </w:tc>
      </w:tr>
      <w:tr w:rsidR="009326B1" w:rsidRPr="00C34C22" w14:paraId="28E7B7BD" w14:textId="77777777" w:rsidTr="00C405B2">
        <w:trPr>
          <w:trHeight w:val="268"/>
        </w:trPr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9BC61A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70B9DC6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 xml:space="preserve">Rekonstrukcija </w:t>
            </w:r>
            <w:proofErr w:type="spellStart"/>
            <w:r w:rsidRPr="00C34C22">
              <w:rPr>
                <w:lang w:eastAsia="en-US"/>
              </w:rPr>
              <w:t>javne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rasvjete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B095F6" w14:textId="2035E516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11.500,00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75E0D2" w14:textId="0DA3C72B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11.301,06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3ECC34" w14:textId="10D5C643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98,27</w:t>
            </w:r>
          </w:p>
        </w:tc>
      </w:tr>
      <w:tr w:rsidR="009326B1" w:rsidRPr="00C34C22" w14:paraId="15BA4620" w14:textId="77777777" w:rsidTr="00C405B2">
        <w:trPr>
          <w:trHeight w:val="268"/>
        </w:trPr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8084CE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2.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973C70D" w14:textId="702AF796" w:rsidR="009326B1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Mrtvačnica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Golubinjak</w:t>
            </w:r>
            <w:proofErr w:type="spellEnd"/>
            <w:r w:rsidRPr="00C34C22">
              <w:rPr>
                <w:lang w:eastAsia="en-US"/>
              </w:rPr>
              <w:t xml:space="preserve"> (</w:t>
            </w:r>
            <w:proofErr w:type="spellStart"/>
            <w:r w:rsidRPr="00C34C22">
              <w:rPr>
                <w:lang w:eastAsia="en-US"/>
              </w:rPr>
              <w:t>pravoslavno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groblju</w:t>
            </w:r>
            <w:proofErr w:type="spellEnd"/>
            <w:r w:rsidRPr="00C34C22">
              <w:rPr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A80CFE" w14:textId="6E75B95A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077338" w14:textId="745DAC58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1.030,29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DC0A6E" w14:textId="44B8239B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0,00</w:t>
            </w:r>
          </w:p>
        </w:tc>
      </w:tr>
      <w:tr w:rsidR="009326B1" w:rsidRPr="00C34C22" w14:paraId="3B48F7AA" w14:textId="77777777" w:rsidTr="00C405B2">
        <w:trPr>
          <w:trHeight w:val="268"/>
        </w:trPr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20FBB7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3.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A6556E6" w14:textId="6DD96545" w:rsidR="009326B1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kod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mrtvačnice</w:t>
            </w:r>
            <w:proofErr w:type="spellEnd"/>
            <w:r w:rsidRPr="00C34C22">
              <w:rPr>
                <w:lang w:eastAsia="en-US"/>
              </w:rPr>
              <w:t xml:space="preserve"> u Blagorodovcu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C390F7" w14:textId="6632AD47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9D44A5" w14:textId="6AA610DC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5F63F4" w14:textId="100FD01B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1F0C59E3" w14:textId="77777777" w:rsidTr="00C405B2">
        <w:trPr>
          <w:trHeight w:val="284"/>
        </w:trPr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5218A2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4.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8803EC" w14:textId="7DF4F5CB" w:rsidR="009326B1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na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katoličkom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groblju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Golubinjaku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0B655A" w14:textId="155C009C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3C07C2" w14:textId="529228C0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02840E" w14:textId="3FF9595F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3C5B780C" w14:textId="77777777" w:rsidTr="00C405B2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E11AA7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5.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8538E" w14:textId="54ABF424" w:rsidR="009326B1" w:rsidRPr="00C34C22" w:rsidRDefault="00302AC5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na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groblju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Gornjim</w:t>
            </w:r>
            <w:proofErr w:type="spellEnd"/>
            <w:r w:rsidRPr="00C34C22">
              <w:rPr>
                <w:lang w:eastAsia="en-US"/>
              </w:rPr>
              <w:t xml:space="preserve"> Sređanima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3A5517" w14:textId="5074285B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DF196B" w14:textId="3D6177A0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DECAFB" w14:textId="41CA9D22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2FCF80B9" w14:textId="77777777" w:rsidTr="00C405B2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19391B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6.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B084FF" w14:textId="3A4809CE" w:rsidR="009326B1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kod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doma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Donjim</w:t>
            </w:r>
            <w:proofErr w:type="spellEnd"/>
            <w:r w:rsidRPr="00C34C22">
              <w:rPr>
                <w:lang w:eastAsia="en-US"/>
              </w:rPr>
              <w:t xml:space="preserve"> Sređanima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EAE95B" w14:textId="5DA861E9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6FCCE" w14:textId="2D156FA1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1D663F" w14:textId="508F7910" w:rsidR="00487DFD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7E046A21" w14:textId="77777777" w:rsidTr="00C405B2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8A15D1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7.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3E03F" w14:textId="29E59C60" w:rsidR="009326B1" w:rsidRPr="00C34C22" w:rsidRDefault="00302AC5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Mrtvačnica</w:t>
            </w:r>
            <w:proofErr w:type="spellEnd"/>
            <w:r w:rsidRPr="00C34C22">
              <w:rPr>
                <w:lang w:eastAsia="en-US"/>
              </w:rPr>
              <w:t xml:space="preserve"> u Trojeglavi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6EAB41" w14:textId="4151CE8A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35.000,00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AC9256" w14:textId="70572BAD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39.396,00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76D026" w14:textId="2699DB90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112,56</w:t>
            </w:r>
          </w:p>
        </w:tc>
      </w:tr>
      <w:tr w:rsidR="009326B1" w:rsidRPr="00C34C22" w14:paraId="7142EA5C" w14:textId="77777777" w:rsidTr="00C405B2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686F8C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8.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C1590" w14:textId="57697946" w:rsidR="009326B1" w:rsidRPr="00C34C22" w:rsidRDefault="00302AC5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Mrtvačnica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Golubinjak</w:t>
            </w:r>
            <w:proofErr w:type="spellEnd"/>
            <w:r w:rsidRPr="00C34C22">
              <w:rPr>
                <w:lang w:eastAsia="en-US"/>
              </w:rPr>
              <w:t xml:space="preserve"> (</w:t>
            </w:r>
            <w:proofErr w:type="spellStart"/>
            <w:r w:rsidRPr="00C34C22">
              <w:rPr>
                <w:lang w:eastAsia="en-US"/>
              </w:rPr>
              <w:t>katoličko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groblje</w:t>
            </w:r>
            <w:proofErr w:type="spellEnd"/>
            <w:r w:rsidRPr="00C34C22">
              <w:rPr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242F00" w14:textId="5525F02A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575,00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2BC5E0" w14:textId="38B71BC5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575,00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530907" w14:textId="6D37BFA6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239C2D46" w14:textId="77777777" w:rsidTr="00C405B2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5E7AB4" w14:textId="68432F96" w:rsidR="009326B1" w:rsidRPr="00C34C22" w:rsidRDefault="00487DFD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9</w:t>
            </w:r>
            <w:r w:rsidR="009326B1" w:rsidRPr="00C34C22">
              <w:rPr>
                <w:lang w:eastAsia="en-US"/>
              </w:rPr>
              <w:t>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9608AE" w14:textId="1999326A" w:rsidR="009326B1" w:rsidRPr="00C34C22" w:rsidRDefault="00302AC5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Mrtvačnica</w:t>
            </w:r>
            <w:proofErr w:type="spellEnd"/>
            <w:r w:rsidRPr="00C34C22">
              <w:rPr>
                <w:lang w:eastAsia="en-US"/>
              </w:rPr>
              <w:t xml:space="preserve"> Blagorodovac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D7EB61" w14:textId="52F53281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575,00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6DBEDB" w14:textId="0D46FA00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575,00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3FB080" w14:textId="1A3AF826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486757AB" w14:textId="77777777" w:rsidTr="00C405B2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1A029" w14:textId="5E1765DD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</w:t>
            </w:r>
            <w:r w:rsidR="00487DFD" w:rsidRPr="00C34C22">
              <w:rPr>
                <w:lang w:eastAsia="en-US"/>
              </w:rPr>
              <w:t>0</w:t>
            </w:r>
            <w:r w:rsidRPr="00C34C22">
              <w:rPr>
                <w:lang w:eastAsia="en-US"/>
              </w:rPr>
              <w:t>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A148B" w14:textId="63AB675C" w:rsidR="009326B1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kod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mrtvačnice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Goveđem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Polju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22F58E" w14:textId="6851AD8E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33395B" w14:textId="75B10E07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2C19C5" w14:textId="469A0A7D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5EC858A3" w14:textId="77777777" w:rsidTr="00FA05B7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1B2032" w14:textId="30CE218F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</w:t>
            </w:r>
            <w:r w:rsidR="00487DFD" w:rsidRPr="00C34C22">
              <w:rPr>
                <w:lang w:eastAsia="en-US"/>
              </w:rPr>
              <w:t>1</w:t>
            </w:r>
            <w:r w:rsidRPr="00C34C22">
              <w:rPr>
                <w:lang w:eastAsia="en-US"/>
              </w:rPr>
              <w:t>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AEF370" w14:textId="10CB0D07" w:rsidR="009326B1" w:rsidRPr="00C34C22" w:rsidRDefault="00302AC5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Izrada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asfaltnog</w:t>
            </w:r>
            <w:proofErr w:type="spellEnd"/>
            <w:r w:rsidRPr="00C34C22">
              <w:rPr>
                <w:lang w:eastAsia="en-US"/>
              </w:rPr>
              <w:t xml:space="preserve"> puta </w:t>
            </w:r>
            <w:proofErr w:type="spellStart"/>
            <w:r w:rsidR="00C405B2" w:rsidRPr="00C34C22">
              <w:rPr>
                <w:lang w:eastAsia="en-US"/>
              </w:rPr>
              <w:t>i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parkinga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na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pravoslavnom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groblju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Golubinjaku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2BDB7ED" w14:textId="4D8F074D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2</w:t>
            </w:r>
            <w:r w:rsidR="00302AC5" w:rsidRPr="00C34C22">
              <w:rPr>
                <w:lang w:eastAsia="en-US"/>
              </w:rPr>
              <w:t>0.000,00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345C754" w14:textId="4AE5B74D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19.426,70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6FCBF41" w14:textId="0B489A63" w:rsidR="009326B1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97,13</w:t>
            </w:r>
          </w:p>
        </w:tc>
      </w:tr>
      <w:tr w:rsidR="00487DFD" w:rsidRPr="00C34C22" w14:paraId="02A028BB" w14:textId="77777777" w:rsidTr="00FA05B7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4B131" w14:textId="375A9F0E" w:rsidR="00487DFD" w:rsidRPr="00C34C22" w:rsidRDefault="00487DFD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12.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5E8323" w14:textId="039FEA37" w:rsidR="00487DFD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Nogostup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Ivanovom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Polju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D9A37E" w14:textId="7D48E352" w:rsidR="00487DFD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8.</w:t>
            </w:r>
            <w:r w:rsidR="0017340B"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61E115" w14:textId="6D57D7C2" w:rsidR="00487DFD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8.437,50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04A0F8" w14:textId="3BAA1CAB" w:rsidR="00487DFD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99,26</w:t>
            </w:r>
          </w:p>
        </w:tc>
      </w:tr>
      <w:tr w:rsidR="00C405B2" w:rsidRPr="00C34C22" w14:paraId="08271D13" w14:textId="77777777" w:rsidTr="00FA05B7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7EDB6" w14:textId="31B62C92" w:rsidR="00C405B2" w:rsidRPr="00C34C22" w:rsidRDefault="00C405B2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13.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7380E" w14:textId="16E48341" w:rsidR="00C405B2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Nogostup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na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groblju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Sokolovcu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5E623A" w14:textId="1906FE87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15.765,00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EB2FB3" w14:textId="4EC278EC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15.765,00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91BDB2" w14:textId="4F7D8393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</w:t>
            </w:r>
            <w:r w:rsidR="0017340B" w:rsidRPr="00C34C22">
              <w:rPr>
                <w:lang w:eastAsia="en-US"/>
              </w:rPr>
              <w:t>,00</w:t>
            </w:r>
          </w:p>
        </w:tc>
      </w:tr>
      <w:tr w:rsidR="00C405B2" w:rsidRPr="00C34C22" w14:paraId="595BF506" w14:textId="77777777" w:rsidTr="00FA05B7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91298" w14:textId="07F9CCEB" w:rsidR="00C405B2" w:rsidRPr="00C34C22" w:rsidRDefault="00C405B2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14.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B570B" w14:textId="03FEE6AA" w:rsidR="00C405B2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na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groblju</w:t>
            </w:r>
            <w:proofErr w:type="spellEnd"/>
            <w:r w:rsidRPr="00C34C22">
              <w:rPr>
                <w:lang w:eastAsia="en-US"/>
              </w:rPr>
              <w:t xml:space="preserve"> u Trojeglavi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A7045C" w14:textId="17916693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5EFC35" w14:textId="2D3DC8C1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FE85B2" w14:textId="65DD7918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C405B2" w:rsidRPr="00C34C22" w14:paraId="11EC8C62" w14:textId="77777777" w:rsidTr="00FA05B7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3D5DA" w14:textId="7F35440A" w:rsidR="00C405B2" w:rsidRPr="00C34C22" w:rsidRDefault="00C405B2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lang w:eastAsia="en-US"/>
              </w:rPr>
              <w:t>15.</w:t>
            </w: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FB6E7" w14:textId="47AE0D21" w:rsidR="00C405B2" w:rsidRPr="00C34C22" w:rsidRDefault="00C405B2" w:rsidP="009326B1">
            <w:pPr>
              <w:pStyle w:val="Sadrajitablice"/>
              <w:rPr>
                <w:lang w:eastAsia="en-US"/>
              </w:rPr>
            </w:pPr>
            <w:proofErr w:type="spellStart"/>
            <w:r w:rsidRPr="00C34C22">
              <w:rPr>
                <w:lang w:eastAsia="en-US"/>
              </w:rPr>
              <w:t>Parkiralište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kod</w:t>
            </w:r>
            <w:proofErr w:type="spellEnd"/>
            <w:r w:rsidRPr="00C34C22">
              <w:rPr>
                <w:lang w:eastAsia="en-US"/>
              </w:rPr>
              <w:t xml:space="preserve"> </w:t>
            </w:r>
            <w:proofErr w:type="spellStart"/>
            <w:r w:rsidRPr="00C34C22">
              <w:rPr>
                <w:lang w:eastAsia="en-US"/>
              </w:rPr>
              <w:t>doma</w:t>
            </w:r>
            <w:proofErr w:type="spellEnd"/>
            <w:r w:rsidRPr="00C34C22">
              <w:rPr>
                <w:lang w:eastAsia="en-US"/>
              </w:rPr>
              <w:t xml:space="preserve"> u </w:t>
            </w:r>
            <w:proofErr w:type="spellStart"/>
            <w:r w:rsidRPr="00C34C22">
              <w:rPr>
                <w:lang w:eastAsia="en-US"/>
              </w:rPr>
              <w:t>Gornjim</w:t>
            </w:r>
            <w:proofErr w:type="spellEnd"/>
            <w:r w:rsidRPr="00C34C22">
              <w:rPr>
                <w:lang w:eastAsia="en-US"/>
              </w:rPr>
              <w:t xml:space="preserve"> Sređanima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58AA4A" w14:textId="276B62F1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89B8B7" w14:textId="2BAC0484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02A89" w14:textId="20A97BF2" w:rsidR="00C405B2" w:rsidRPr="00C34C22" w:rsidRDefault="00C405B2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lang w:eastAsia="en-US"/>
              </w:rPr>
              <w:t>100,00</w:t>
            </w:r>
          </w:p>
        </w:tc>
      </w:tr>
      <w:tr w:rsidR="009326B1" w:rsidRPr="00C34C22" w14:paraId="4A2B013C" w14:textId="77777777" w:rsidTr="00FA05B7">
        <w:tc>
          <w:tcPr>
            <w:tcW w:w="4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D46EC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</w:p>
        </w:tc>
        <w:tc>
          <w:tcPr>
            <w:tcW w:w="37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96A02D" w14:textId="77777777" w:rsidR="009326B1" w:rsidRPr="00C34C22" w:rsidRDefault="009326B1" w:rsidP="009326B1">
            <w:pPr>
              <w:pStyle w:val="Sadrajitablice"/>
              <w:rPr>
                <w:lang w:eastAsia="en-US"/>
              </w:rPr>
            </w:pPr>
            <w:r w:rsidRPr="00C34C22"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68BD363" w14:textId="0F4C52A0" w:rsidR="009326B1" w:rsidRPr="00C34C22" w:rsidRDefault="0017340B" w:rsidP="00C34760">
            <w:pPr>
              <w:pStyle w:val="Sadrajitablice"/>
              <w:jc w:val="right"/>
              <w:rPr>
                <w:lang w:eastAsia="en-US"/>
              </w:rPr>
            </w:pPr>
            <w:r w:rsidRPr="00C34C22">
              <w:rPr>
                <w:b/>
                <w:bCs/>
                <w:lang w:eastAsia="en-US"/>
              </w:rPr>
              <w:t>95.415</w:t>
            </w:r>
            <w:r w:rsidR="00487DFD" w:rsidRPr="00C34C22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D394C51" w14:textId="4D2316F8" w:rsidR="009326B1" w:rsidRPr="00C34C22" w:rsidRDefault="0017340B" w:rsidP="00C34760">
            <w:pPr>
              <w:pStyle w:val="Sadrajitablice"/>
              <w:jc w:val="right"/>
              <w:rPr>
                <w:b/>
                <w:bCs/>
                <w:lang w:eastAsia="en-US"/>
              </w:rPr>
            </w:pPr>
            <w:r w:rsidRPr="00C34C22">
              <w:rPr>
                <w:b/>
                <w:bCs/>
                <w:lang w:eastAsia="en-US"/>
              </w:rPr>
              <w:t>100.006,55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A31809C" w14:textId="2B7ABAD3" w:rsidR="009326B1" w:rsidRPr="00C34C22" w:rsidRDefault="0017340B" w:rsidP="00C34760">
            <w:pPr>
              <w:pStyle w:val="Sadrajitablice"/>
              <w:jc w:val="right"/>
              <w:rPr>
                <w:b/>
                <w:bCs/>
                <w:lang w:eastAsia="en-US"/>
              </w:rPr>
            </w:pPr>
            <w:r w:rsidRPr="00C34C22">
              <w:rPr>
                <w:b/>
                <w:bCs/>
                <w:lang w:eastAsia="en-US"/>
              </w:rPr>
              <w:t>104,81</w:t>
            </w:r>
          </w:p>
        </w:tc>
      </w:tr>
    </w:tbl>
    <w:p w14:paraId="6FE9C254" w14:textId="77777777" w:rsidR="009950DF" w:rsidRDefault="009950DF">
      <w:pPr>
        <w:pStyle w:val="Tijeloteksta"/>
        <w:spacing w:before="1"/>
        <w:ind w:left="0"/>
        <w:rPr>
          <w:b/>
          <w:sz w:val="24"/>
        </w:rPr>
      </w:pPr>
    </w:p>
    <w:p w14:paraId="279AA253" w14:textId="77777777" w:rsidR="009950DF" w:rsidRDefault="009950DF">
      <w:pPr>
        <w:pStyle w:val="Tijeloteksta"/>
        <w:ind w:left="0"/>
        <w:rPr>
          <w:b/>
          <w:sz w:val="26"/>
        </w:rPr>
      </w:pPr>
    </w:p>
    <w:p w14:paraId="6911301E" w14:textId="77777777" w:rsidR="00C34C22" w:rsidRDefault="00C34C22">
      <w:pPr>
        <w:pStyle w:val="Tijeloteksta"/>
        <w:ind w:left="0"/>
        <w:rPr>
          <w:b/>
          <w:sz w:val="26"/>
        </w:rPr>
      </w:pPr>
    </w:p>
    <w:p w14:paraId="72521C92" w14:textId="77777777" w:rsidR="009950DF" w:rsidRDefault="00BF3CCF">
      <w:pPr>
        <w:pStyle w:val="Naslov2"/>
        <w:spacing w:before="227" w:line="252" w:lineRule="exact"/>
        <w:ind w:left="4478"/>
      </w:pPr>
      <w:r>
        <w:t>Članak</w:t>
      </w:r>
      <w:r>
        <w:rPr>
          <w:spacing w:val="-1"/>
        </w:rPr>
        <w:t xml:space="preserve"> </w:t>
      </w:r>
      <w:r>
        <w:t>3.</w:t>
      </w:r>
    </w:p>
    <w:p w14:paraId="531F05BF" w14:textId="76E5F79C" w:rsidR="009950DF" w:rsidRDefault="00BF3CCF">
      <w:pPr>
        <w:pStyle w:val="Tijeloteksta"/>
        <w:ind w:left="113" w:right="125" w:firstLine="717"/>
      </w:pPr>
      <w:r>
        <w:t>I</w:t>
      </w:r>
      <w:r w:rsidR="0065002E">
        <w:t>zvršenje</w:t>
      </w:r>
      <w:r>
        <w:rPr>
          <w:spacing w:val="-4"/>
        </w:rPr>
        <w:t xml:space="preserve"> </w:t>
      </w:r>
      <w:r>
        <w:t>Programa</w:t>
      </w:r>
      <w:r>
        <w:rPr>
          <w:spacing w:val="4"/>
        </w:rPr>
        <w:t xml:space="preserve"> </w:t>
      </w:r>
      <w:r>
        <w:t>izgradnje</w:t>
      </w:r>
      <w:r>
        <w:rPr>
          <w:spacing w:val="5"/>
        </w:rPr>
        <w:t xml:space="preserve"> </w:t>
      </w:r>
      <w:r>
        <w:t>objekata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uređaja</w:t>
      </w:r>
      <w:r>
        <w:rPr>
          <w:spacing w:val="4"/>
        </w:rPr>
        <w:t xml:space="preserve"> </w:t>
      </w:r>
      <w:r>
        <w:t>komunalne</w:t>
      </w:r>
      <w:r>
        <w:rPr>
          <w:spacing w:val="3"/>
        </w:rPr>
        <w:t xml:space="preserve"> </w:t>
      </w:r>
      <w:r>
        <w:t>infrastrukture</w:t>
      </w:r>
      <w:r>
        <w:rPr>
          <w:spacing w:val="2"/>
        </w:rPr>
        <w:t xml:space="preserve"> </w:t>
      </w:r>
      <w:r w:rsidR="00773E3D">
        <w:rPr>
          <w:spacing w:val="2"/>
        </w:rPr>
        <w:t>za 202</w:t>
      </w:r>
      <w:r w:rsidR="0017340B">
        <w:rPr>
          <w:spacing w:val="2"/>
        </w:rPr>
        <w:t>5</w:t>
      </w:r>
      <w:r w:rsidR="00773E3D">
        <w:rPr>
          <w:spacing w:val="2"/>
        </w:rPr>
        <w:t xml:space="preserve"> .godinu </w:t>
      </w:r>
      <w:r>
        <w:t>stupa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snagu</w:t>
      </w:r>
      <w:r w:rsidR="00773E3D">
        <w:t xml:space="preserve"> </w:t>
      </w:r>
      <w:r>
        <w:rPr>
          <w:spacing w:val="-52"/>
        </w:rPr>
        <w:t xml:space="preserve"> </w:t>
      </w:r>
      <w:r>
        <w:t>osam</w:t>
      </w:r>
      <w:r>
        <w:rPr>
          <w:spacing w:val="-3"/>
        </w:rPr>
        <w:t xml:space="preserve"> </w:t>
      </w:r>
      <w:r>
        <w:t>dana od dana objave</w:t>
      </w:r>
      <w:r>
        <w:rPr>
          <w:spacing w:val="-3"/>
        </w:rPr>
        <w:t xml:space="preserve"> </w:t>
      </w:r>
      <w:r>
        <w:t>u  „Službenom</w:t>
      </w:r>
      <w:r>
        <w:rPr>
          <w:spacing w:val="1"/>
        </w:rPr>
        <w:t xml:space="preserve"> </w:t>
      </w:r>
      <w:r>
        <w:t>glasniku Općine</w:t>
      </w:r>
      <w:r>
        <w:rPr>
          <w:spacing w:val="-1"/>
        </w:rPr>
        <w:t xml:space="preserve"> </w:t>
      </w:r>
      <w:r>
        <w:t>Dežanovac“.</w:t>
      </w:r>
    </w:p>
    <w:p w14:paraId="682C6233" w14:textId="77777777" w:rsidR="009950DF" w:rsidRDefault="009950DF">
      <w:pPr>
        <w:pStyle w:val="Tijeloteksta"/>
        <w:ind w:left="0"/>
        <w:rPr>
          <w:sz w:val="24"/>
        </w:rPr>
      </w:pPr>
    </w:p>
    <w:p w14:paraId="09C03B5D" w14:textId="77777777" w:rsidR="009950DF" w:rsidRDefault="009950DF">
      <w:pPr>
        <w:pStyle w:val="Tijeloteksta"/>
        <w:ind w:left="0"/>
        <w:rPr>
          <w:sz w:val="24"/>
        </w:rPr>
      </w:pPr>
    </w:p>
    <w:p w14:paraId="2EB2036D" w14:textId="77777777" w:rsidR="009950DF" w:rsidRDefault="00BF3CCF">
      <w:pPr>
        <w:pStyle w:val="Naslov2"/>
        <w:spacing w:before="206"/>
        <w:ind w:left="5359"/>
      </w:pPr>
      <w:r>
        <w:t>PREDSJEDNIK</w:t>
      </w:r>
      <w:r>
        <w:rPr>
          <w:spacing w:val="-3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t>VIJEĆA</w:t>
      </w:r>
    </w:p>
    <w:p w14:paraId="7E3A3F9D" w14:textId="7C37D9E0" w:rsidR="009950DF" w:rsidRDefault="00387330">
      <w:pPr>
        <w:spacing w:before="2"/>
        <w:ind w:left="6511"/>
        <w:rPr>
          <w:b/>
        </w:rPr>
      </w:pPr>
      <w:r>
        <w:rPr>
          <w:b/>
        </w:rPr>
        <w:t>Ivan Dubravac</w:t>
      </w:r>
    </w:p>
    <w:sectPr w:rsidR="009950DF" w:rsidSect="009326B1">
      <w:pgSz w:w="11910" w:h="16840"/>
      <w:pgMar w:top="1360" w:right="6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A48EF"/>
    <w:multiLevelType w:val="hybridMultilevel"/>
    <w:tmpl w:val="80EEA24E"/>
    <w:lvl w:ilvl="0" w:tplc="F218351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hr-HR" w:eastAsia="en-US" w:bidi="ar-SA"/>
      </w:rPr>
    </w:lvl>
    <w:lvl w:ilvl="1" w:tplc="ED987D44">
      <w:numFmt w:val="bullet"/>
      <w:lvlText w:val="•"/>
      <w:lvlJc w:val="left"/>
      <w:pPr>
        <w:ind w:left="2090" w:hanging="360"/>
      </w:pPr>
      <w:rPr>
        <w:rFonts w:hint="default"/>
        <w:lang w:val="hr-HR" w:eastAsia="en-US" w:bidi="ar-SA"/>
      </w:rPr>
    </w:lvl>
    <w:lvl w:ilvl="2" w:tplc="406CB9A4">
      <w:numFmt w:val="bullet"/>
      <w:lvlText w:val="•"/>
      <w:lvlJc w:val="left"/>
      <w:pPr>
        <w:ind w:left="3001" w:hanging="360"/>
      </w:pPr>
      <w:rPr>
        <w:rFonts w:hint="default"/>
        <w:lang w:val="hr-HR" w:eastAsia="en-US" w:bidi="ar-SA"/>
      </w:rPr>
    </w:lvl>
    <w:lvl w:ilvl="3" w:tplc="6CA6BDF8">
      <w:numFmt w:val="bullet"/>
      <w:lvlText w:val="•"/>
      <w:lvlJc w:val="left"/>
      <w:pPr>
        <w:ind w:left="3911" w:hanging="360"/>
      </w:pPr>
      <w:rPr>
        <w:rFonts w:hint="default"/>
        <w:lang w:val="hr-HR" w:eastAsia="en-US" w:bidi="ar-SA"/>
      </w:rPr>
    </w:lvl>
    <w:lvl w:ilvl="4" w:tplc="6F766C6C">
      <w:numFmt w:val="bullet"/>
      <w:lvlText w:val="•"/>
      <w:lvlJc w:val="left"/>
      <w:pPr>
        <w:ind w:left="4822" w:hanging="360"/>
      </w:pPr>
      <w:rPr>
        <w:rFonts w:hint="default"/>
        <w:lang w:val="hr-HR" w:eastAsia="en-US" w:bidi="ar-SA"/>
      </w:rPr>
    </w:lvl>
    <w:lvl w:ilvl="5" w:tplc="F9DE828E">
      <w:numFmt w:val="bullet"/>
      <w:lvlText w:val="•"/>
      <w:lvlJc w:val="left"/>
      <w:pPr>
        <w:ind w:left="5733" w:hanging="360"/>
      </w:pPr>
      <w:rPr>
        <w:rFonts w:hint="default"/>
        <w:lang w:val="hr-HR" w:eastAsia="en-US" w:bidi="ar-SA"/>
      </w:rPr>
    </w:lvl>
    <w:lvl w:ilvl="6" w:tplc="0AA600CC">
      <w:numFmt w:val="bullet"/>
      <w:lvlText w:val="•"/>
      <w:lvlJc w:val="left"/>
      <w:pPr>
        <w:ind w:left="6643" w:hanging="360"/>
      </w:pPr>
      <w:rPr>
        <w:rFonts w:hint="default"/>
        <w:lang w:val="hr-HR" w:eastAsia="en-US" w:bidi="ar-SA"/>
      </w:rPr>
    </w:lvl>
    <w:lvl w:ilvl="7" w:tplc="D2F47DF2">
      <w:numFmt w:val="bullet"/>
      <w:lvlText w:val="•"/>
      <w:lvlJc w:val="left"/>
      <w:pPr>
        <w:ind w:left="7554" w:hanging="360"/>
      </w:pPr>
      <w:rPr>
        <w:rFonts w:hint="default"/>
        <w:lang w:val="hr-HR" w:eastAsia="en-US" w:bidi="ar-SA"/>
      </w:rPr>
    </w:lvl>
    <w:lvl w:ilvl="8" w:tplc="3C3645D4">
      <w:numFmt w:val="bullet"/>
      <w:lvlText w:val="•"/>
      <w:lvlJc w:val="left"/>
      <w:pPr>
        <w:ind w:left="8465" w:hanging="360"/>
      </w:pPr>
      <w:rPr>
        <w:rFonts w:hint="default"/>
        <w:lang w:val="hr-HR" w:eastAsia="en-US" w:bidi="ar-SA"/>
      </w:rPr>
    </w:lvl>
  </w:abstractNum>
  <w:num w:numId="1" w16cid:durableId="30366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DF"/>
    <w:rsid w:val="00022C97"/>
    <w:rsid w:val="00022F06"/>
    <w:rsid w:val="00044780"/>
    <w:rsid w:val="0005175C"/>
    <w:rsid w:val="00061579"/>
    <w:rsid w:val="000730A0"/>
    <w:rsid w:val="00075467"/>
    <w:rsid w:val="00081B23"/>
    <w:rsid w:val="000856ED"/>
    <w:rsid w:val="000952AB"/>
    <w:rsid w:val="000A1D8B"/>
    <w:rsid w:val="000A391C"/>
    <w:rsid w:val="00124093"/>
    <w:rsid w:val="0017340B"/>
    <w:rsid w:val="001B17FE"/>
    <w:rsid w:val="001E0457"/>
    <w:rsid w:val="001E707B"/>
    <w:rsid w:val="001F2B1B"/>
    <w:rsid w:val="00206EA2"/>
    <w:rsid w:val="002779E2"/>
    <w:rsid w:val="00297473"/>
    <w:rsid w:val="002C5212"/>
    <w:rsid w:val="002F5279"/>
    <w:rsid w:val="00302AC5"/>
    <w:rsid w:val="00342389"/>
    <w:rsid w:val="00387330"/>
    <w:rsid w:val="003D3EC7"/>
    <w:rsid w:val="00400060"/>
    <w:rsid w:val="00487DFD"/>
    <w:rsid w:val="004B4E13"/>
    <w:rsid w:val="004C2C2A"/>
    <w:rsid w:val="004D6908"/>
    <w:rsid w:val="00580203"/>
    <w:rsid w:val="005A2209"/>
    <w:rsid w:val="005C16A7"/>
    <w:rsid w:val="005C75B6"/>
    <w:rsid w:val="0065002E"/>
    <w:rsid w:val="006637A2"/>
    <w:rsid w:val="00714383"/>
    <w:rsid w:val="00721114"/>
    <w:rsid w:val="007274E6"/>
    <w:rsid w:val="00773E3D"/>
    <w:rsid w:val="007A1D3A"/>
    <w:rsid w:val="007D1BD5"/>
    <w:rsid w:val="007E2CE9"/>
    <w:rsid w:val="007F4280"/>
    <w:rsid w:val="00814B76"/>
    <w:rsid w:val="00817FE5"/>
    <w:rsid w:val="00822951"/>
    <w:rsid w:val="008A1E95"/>
    <w:rsid w:val="008C58D2"/>
    <w:rsid w:val="00915EFF"/>
    <w:rsid w:val="009240E2"/>
    <w:rsid w:val="009326B1"/>
    <w:rsid w:val="00936FC6"/>
    <w:rsid w:val="00956FA0"/>
    <w:rsid w:val="00986F73"/>
    <w:rsid w:val="009950DF"/>
    <w:rsid w:val="009C08C6"/>
    <w:rsid w:val="00A11E39"/>
    <w:rsid w:val="00A542E1"/>
    <w:rsid w:val="00A54F8B"/>
    <w:rsid w:val="00AA392F"/>
    <w:rsid w:val="00AD3786"/>
    <w:rsid w:val="00B04D1A"/>
    <w:rsid w:val="00B261C3"/>
    <w:rsid w:val="00BD5594"/>
    <w:rsid w:val="00BF3CCF"/>
    <w:rsid w:val="00C33772"/>
    <w:rsid w:val="00C34760"/>
    <w:rsid w:val="00C34C22"/>
    <w:rsid w:val="00C405B2"/>
    <w:rsid w:val="00C6790F"/>
    <w:rsid w:val="00CE5B5D"/>
    <w:rsid w:val="00D63DA5"/>
    <w:rsid w:val="00D77F2E"/>
    <w:rsid w:val="00DA0CA6"/>
    <w:rsid w:val="00DA57F7"/>
    <w:rsid w:val="00DE1A4C"/>
    <w:rsid w:val="00E42F4A"/>
    <w:rsid w:val="00EA35DF"/>
    <w:rsid w:val="00F017A7"/>
    <w:rsid w:val="00FA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ACA"/>
  <w15:docId w15:val="{91DAF594-65AC-4C3F-8C32-143B038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112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2"/>
    </w:pPr>
  </w:style>
  <w:style w:type="paragraph" w:styleId="Odlomakpopisa">
    <w:name w:val="List Paragraph"/>
    <w:basedOn w:val="Normal"/>
    <w:uiPriority w:val="1"/>
    <w:qFormat/>
    <w:pPr>
      <w:spacing w:line="252" w:lineRule="exact"/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8"/>
    </w:pPr>
  </w:style>
  <w:style w:type="paragraph" w:styleId="Zaglavlje">
    <w:name w:val="header"/>
    <w:basedOn w:val="Normal"/>
    <w:link w:val="ZaglavljeChar"/>
    <w:unhideWhenUsed/>
    <w:rsid w:val="008C58D2"/>
    <w:pPr>
      <w:widowControl/>
      <w:tabs>
        <w:tab w:val="center" w:pos="4536"/>
        <w:tab w:val="right" w:pos="9072"/>
      </w:tabs>
      <w:suppressAutoHyphens/>
      <w:overflowPunct w:val="0"/>
      <w:autoSpaceDE/>
      <w:autoSpaceDN/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C58D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adrajitablice">
    <w:name w:val="Sadržaji tablice"/>
    <w:basedOn w:val="Normal"/>
    <w:rsid w:val="009326B1"/>
    <w:pPr>
      <w:widowControl/>
      <w:suppressAutoHyphens/>
      <w:autoSpaceDE/>
      <w:autoSpaceDN/>
    </w:pPr>
    <w:rPr>
      <w:color w:val="00000A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BLAGAJNA</dc:creator>
  <cp:lastModifiedBy>Tanja Sabo</cp:lastModifiedBy>
  <cp:revision>6</cp:revision>
  <cp:lastPrinted>2025-06-24T05:48:00Z</cp:lastPrinted>
  <dcterms:created xsi:type="dcterms:W3CDTF">2026-05-07T11:06:00Z</dcterms:created>
  <dcterms:modified xsi:type="dcterms:W3CDTF">2026-05-14T09:57:00Z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2023-06-20T00:00:00Z</vt:filetime>
  </property>
</Properties>
</file>