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9A13" w14:textId="77777777" w:rsidR="001A23BD" w:rsidRDefault="00CD2171">
      <w:pPr>
        <w:pStyle w:val="Tijeloteksta"/>
        <w:ind w:left="2003"/>
        <w:rPr>
          <w:sz w:val="20"/>
        </w:rPr>
      </w:pPr>
      <w:r>
        <w:rPr>
          <w:noProof/>
          <w:sz w:val="20"/>
        </w:rPr>
        <w:drawing>
          <wp:inline distT="0" distB="0" distL="0" distR="0" wp14:anchorId="7A871D9B" wp14:editId="2C87C948">
            <wp:extent cx="562316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1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89C5" w14:textId="77777777" w:rsidR="001A23BD" w:rsidRDefault="001A23BD">
      <w:pPr>
        <w:pStyle w:val="Tijeloteksta"/>
        <w:spacing w:before="3"/>
        <w:rPr>
          <w:sz w:val="12"/>
        </w:rPr>
      </w:pPr>
    </w:p>
    <w:p w14:paraId="65A80D40" w14:textId="77777777" w:rsidR="001A23BD" w:rsidRDefault="00CD2171">
      <w:pPr>
        <w:pStyle w:val="Tijeloteksta"/>
        <w:spacing w:before="92"/>
        <w:ind w:left="417" w:right="5544" w:firstLine="839"/>
      </w:pPr>
      <w:r>
        <w:t>REPUBLIKA HRVATSKA</w:t>
      </w:r>
      <w:r>
        <w:rPr>
          <w:spacing w:val="1"/>
        </w:rPr>
        <w:t xml:space="preserve"> </w:t>
      </w:r>
      <w:r>
        <w:t>BJELOVARSKO-BILOGORSKA</w:t>
      </w:r>
      <w:r>
        <w:rPr>
          <w:spacing w:val="-11"/>
        </w:rPr>
        <w:t xml:space="preserve"> </w:t>
      </w:r>
      <w:r>
        <w:t>ŽUPANIJA</w:t>
      </w:r>
    </w:p>
    <w:p w14:paraId="7B11436A" w14:textId="77777777" w:rsidR="001A23BD" w:rsidRDefault="00CD2171">
      <w:pPr>
        <w:pStyle w:val="Naslov1"/>
        <w:spacing w:line="242" w:lineRule="auto"/>
        <w:ind w:left="1445" w:right="6440" w:hanging="116"/>
        <w:jc w:val="left"/>
      </w:pPr>
      <w:bookmarkStart w:id="0" w:name="OPĆINA_DEŽANOVAC"/>
      <w:bookmarkEnd w:id="0"/>
      <w:r>
        <w:t>OPĆINA DEŽANOVAC</w:t>
      </w:r>
      <w:r>
        <w:rPr>
          <w:spacing w:val="-52"/>
        </w:rPr>
        <w:t xml:space="preserve"> </w:t>
      </w:r>
      <w:r>
        <w:t>OPĆINSKO</w:t>
      </w:r>
      <w:r>
        <w:rPr>
          <w:spacing w:val="-4"/>
        </w:rPr>
        <w:t xml:space="preserve"> </w:t>
      </w:r>
      <w:r>
        <w:t>VIJEĆE</w:t>
      </w:r>
    </w:p>
    <w:p w14:paraId="60543151" w14:textId="77777777" w:rsidR="001A23BD" w:rsidRDefault="00CD2171">
      <w:pPr>
        <w:pStyle w:val="Tijeloteksta"/>
        <w:ind w:left="233"/>
        <w:rPr>
          <w:sz w:val="20"/>
        </w:rPr>
      </w:pPr>
      <w:r>
        <w:rPr>
          <w:noProof/>
          <w:sz w:val="20"/>
        </w:rPr>
        <w:drawing>
          <wp:inline distT="0" distB="0" distL="0" distR="0" wp14:anchorId="7041A04D" wp14:editId="20AF9F50">
            <wp:extent cx="371402" cy="450532"/>
            <wp:effectExtent l="0" t="0" r="0" b="0"/>
            <wp:docPr id="3" name="image2.png" descr="P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02" cy="45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DB5A" w14:textId="20AF18A1" w:rsidR="001A23BD" w:rsidRPr="00CD2171" w:rsidRDefault="00CD2171">
      <w:pPr>
        <w:pStyle w:val="Tijeloteksta"/>
        <w:spacing w:before="1"/>
        <w:ind w:left="233" w:right="7549" w:hanging="1"/>
      </w:pPr>
      <w:r w:rsidRPr="00CD2171">
        <w:t>KLASA: 555-0</w:t>
      </w:r>
      <w:r w:rsidR="008816A9">
        <w:t>5</w:t>
      </w:r>
      <w:r w:rsidRPr="00CD2171">
        <w:t>/2</w:t>
      </w:r>
      <w:r w:rsidR="008816A9">
        <w:t>4</w:t>
      </w:r>
      <w:r w:rsidRPr="00CD2171">
        <w:t>-01/0</w:t>
      </w:r>
      <w:r w:rsidR="0036161F">
        <w:t>1</w:t>
      </w:r>
      <w:r w:rsidRPr="00CD2171">
        <w:rPr>
          <w:spacing w:val="-52"/>
        </w:rPr>
        <w:t xml:space="preserve"> </w:t>
      </w:r>
      <w:r w:rsidRPr="00CD2171">
        <w:t>URBROJ:</w:t>
      </w:r>
      <w:r w:rsidRPr="00CD2171">
        <w:rPr>
          <w:spacing w:val="-2"/>
        </w:rPr>
        <w:t xml:space="preserve"> </w:t>
      </w:r>
      <w:r w:rsidRPr="00CD2171">
        <w:t>2103-7-1-</w:t>
      </w:r>
      <w:r w:rsidR="0036161F">
        <w:t>2</w:t>
      </w:r>
      <w:r w:rsidR="008816A9">
        <w:t>6</w:t>
      </w:r>
      <w:r w:rsidRPr="00CD2171">
        <w:t>-</w:t>
      </w:r>
      <w:r w:rsidR="008A794C">
        <w:t>4</w:t>
      </w:r>
    </w:p>
    <w:p w14:paraId="048FC6E5" w14:textId="0DEA0258" w:rsidR="001A23BD" w:rsidRPr="00CD2171" w:rsidRDefault="00CD2171">
      <w:pPr>
        <w:pStyle w:val="Tijeloteksta"/>
        <w:spacing w:line="251" w:lineRule="exact"/>
        <w:ind w:left="233"/>
      </w:pPr>
      <w:r w:rsidRPr="00CD2171">
        <w:t>Dežanovac,</w:t>
      </w:r>
      <w:r w:rsidRPr="00CD2171">
        <w:rPr>
          <w:spacing w:val="-2"/>
        </w:rPr>
        <w:t xml:space="preserve"> </w:t>
      </w:r>
      <w:r w:rsidR="008F6E61">
        <w:rPr>
          <w:spacing w:val="-2"/>
        </w:rPr>
        <w:t>22</w:t>
      </w:r>
      <w:r w:rsidR="008C2F8C">
        <w:rPr>
          <w:spacing w:val="-2"/>
        </w:rPr>
        <w:t>. s</w:t>
      </w:r>
      <w:r w:rsidR="008F6E61">
        <w:rPr>
          <w:spacing w:val="-2"/>
        </w:rPr>
        <w:t>vibnja</w:t>
      </w:r>
      <w:r w:rsidRPr="00CD2171">
        <w:rPr>
          <w:spacing w:val="-2"/>
        </w:rPr>
        <w:t xml:space="preserve"> </w:t>
      </w:r>
      <w:r w:rsidRPr="00CD2171">
        <w:t>202</w:t>
      </w:r>
      <w:r w:rsidR="009F7D13">
        <w:t>6</w:t>
      </w:r>
      <w:r w:rsidRPr="00CD2171">
        <w:t>.g.</w:t>
      </w:r>
    </w:p>
    <w:p w14:paraId="1ACDDF57" w14:textId="77777777" w:rsidR="001A23BD" w:rsidRPr="00CD2171" w:rsidRDefault="001A23BD">
      <w:pPr>
        <w:pStyle w:val="Tijeloteksta"/>
      </w:pPr>
    </w:p>
    <w:p w14:paraId="66FDBD28" w14:textId="2F4A3777" w:rsidR="001A23BD" w:rsidRDefault="00CD2171">
      <w:pPr>
        <w:pStyle w:val="Tijeloteksta"/>
        <w:ind w:left="232" w:right="250" w:firstLine="720"/>
        <w:jc w:val="both"/>
      </w:pPr>
      <w:r w:rsidRPr="00CD2171">
        <w:t>Na temelju članka 117. Zakona o socijalnoj skrbi (“Narodne novine”br.</w:t>
      </w:r>
      <w:r w:rsidR="001E7FF8" w:rsidRPr="00CD2171">
        <w:t xml:space="preserve"> </w:t>
      </w:r>
      <w:r w:rsidRPr="00CD2171">
        <w:t>18/22</w:t>
      </w:r>
      <w:r w:rsidR="001E7FF8" w:rsidRPr="00CD2171">
        <w:t>,</w:t>
      </w:r>
      <w:r w:rsidRPr="00CD2171">
        <w:t xml:space="preserve"> 46/22</w:t>
      </w:r>
      <w:r w:rsidR="00BF13D0">
        <w:t xml:space="preserve">, </w:t>
      </w:r>
      <w:r w:rsidR="001E7FF8" w:rsidRPr="00CD2171">
        <w:t>119/22</w:t>
      </w:r>
      <w:r w:rsidR="00BF13D0">
        <w:t>, 71/23, 156/23 i 61/25</w:t>
      </w:r>
      <w:r w:rsidRPr="00CD2171">
        <w:t>) i članka 31.</w:t>
      </w:r>
      <w:r w:rsidRPr="00CD2171">
        <w:rPr>
          <w:spacing w:val="1"/>
        </w:rPr>
        <w:t xml:space="preserve"> </w:t>
      </w:r>
      <w:r w:rsidRPr="00CD2171">
        <w:t xml:space="preserve">Statuta Općine Dežanovac </w:t>
      </w:r>
      <w:r w:rsidRPr="00CD2171">
        <w:rPr>
          <w:sz w:val="24"/>
        </w:rPr>
        <w:t>(„Službeni glasnik Općine Dežanovac“ br. 8/21</w:t>
      </w:r>
      <w:r w:rsidR="001B53BB">
        <w:rPr>
          <w:sz w:val="24"/>
        </w:rPr>
        <w:t>, 2/24 i 5/24</w:t>
      </w:r>
      <w:r w:rsidRPr="00CD2171">
        <w:t>), na prijedlog načelnika</w:t>
      </w:r>
      <w:r w:rsidRPr="00CD2171">
        <w:rPr>
          <w:spacing w:val="1"/>
        </w:rPr>
        <w:t xml:space="preserve"> </w:t>
      </w:r>
      <w:r w:rsidRPr="00CD2171">
        <w:t xml:space="preserve">Općine Dežanovac, Općinsko vijeće Općine Dežanovac na svojoj </w:t>
      </w:r>
      <w:r w:rsidR="009F7D13">
        <w:t>7</w:t>
      </w:r>
      <w:r w:rsidRPr="00CD2171">
        <w:t>. sjednici održanoj</w:t>
      </w:r>
      <w:r w:rsidR="008C2F8C">
        <w:t xml:space="preserve"> </w:t>
      </w:r>
      <w:r w:rsidR="008F6E61">
        <w:t>22</w:t>
      </w:r>
      <w:r w:rsidR="008C2F8C">
        <w:t>. s</w:t>
      </w:r>
      <w:r w:rsidR="008F6E61">
        <w:t>vibnja</w:t>
      </w:r>
      <w:r w:rsidRPr="00CD2171">
        <w:t xml:space="preserve"> 202</w:t>
      </w:r>
      <w:r w:rsidR="009F7D13">
        <w:t>6</w:t>
      </w:r>
      <w:r w:rsidRPr="00CD2171">
        <w:t>.</w:t>
      </w:r>
      <w:r w:rsidR="004678C5">
        <w:t xml:space="preserve"> </w:t>
      </w:r>
      <w:r w:rsidRPr="00CD2171">
        <w:t>godine</w:t>
      </w:r>
      <w:r w:rsidR="00560F09">
        <w:t xml:space="preserve"> </w:t>
      </w:r>
      <w:r w:rsidRPr="00CD2171">
        <w:rPr>
          <w:spacing w:val="-52"/>
        </w:rPr>
        <w:t xml:space="preserve"> </w:t>
      </w:r>
      <w:r w:rsidR="00034ABF" w:rsidRPr="00CD2171">
        <w:rPr>
          <w:spacing w:val="-52"/>
        </w:rPr>
        <w:t xml:space="preserve"> </w:t>
      </w:r>
      <w:r w:rsidRPr="00CD2171">
        <w:t>donosi</w:t>
      </w:r>
    </w:p>
    <w:p w14:paraId="5A607F86" w14:textId="77777777" w:rsidR="003C0879" w:rsidRPr="00CD2171" w:rsidRDefault="003C0879">
      <w:pPr>
        <w:pStyle w:val="Tijeloteksta"/>
        <w:ind w:left="232" w:right="250" w:firstLine="720"/>
        <w:jc w:val="both"/>
      </w:pPr>
    </w:p>
    <w:p w14:paraId="2F4E9C59" w14:textId="6B4F6B9B" w:rsidR="001A23BD" w:rsidRDefault="00CD2171">
      <w:pPr>
        <w:pStyle w:val="Naslov1"/>
        <w:spacing w:line="240" w:lineRule="auto"/>
      </w:pPr>
      <w:r>
        <w:t>IZVRŠENJE SOCIJALNOG PROGRAMA</w:t>
      </w:r>
      <w:r>
        <w:rPr>
          <w:spacing w:val="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DEŽANOVAC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01.01.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 w:rsidR="001E7FF8">
        <w:t>1</w:t>
      </w:r>
      <w:r>
        <w:t>.</w:t>
      </w:r>
      <w:r w:rsidR="001E7FF8">
        <w:t>12</w:t>
      </w:r>
      <w:r>
        <w:t>.202</w:t>
      </w:r>
      <w:r w:rsidR="009F7D13">
        <w:t>5</w:t>
      </w:r>
      <w:r>
        <w:t>.G.</w:t>
      </w:r>
    </w:p>
    <w:p w14:paraId="75D0BCA0" w14:textId="77777777" w:rsidR="001A23BD" w:rsidRDefault="001A23BD">
      <w:pPr>
        <w:pStyle w:val="Tijeloteksta"/>
        <w:spacing w:before="1"/>
        <w:rPr>
          <w:b/>
        </w:rPr>
      </w:pPr>
    </w:p>
    <w:p w14:paraId="63E12C1A" w14:textId="77777777" w:rsidR="001A23BD" w:rsidRDefault="00CD2171">
      <w:pPr>
        <w:ind w:left="2655" w:right="2677"/>
        <w:jc w:val="center"/>
        <w:rPr>
          <w:b/>
        </w:rPr>
      </w:pPr>
      <w:r>
        <w:rPr>
          <w:b/>
        </w:rPr>
        <w:t>I.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4305"/>
        <w:gridCol w:w="1699"/>
        <w:gridCol w:w="1697"/>
        <w:gridCol w:w="1421"/>
      </w:tblGrid>
      <w:tr w:rsidR="001A23BD" w:rsidRPr="001A3467" w14:paraId="0D1183A5" w14:textId="77777777">
        <w:trPr>
          <w:trHeight w:val="505"/>
        </w:trPr>
        <w:tc>
          <w:tcPr>
            <w:tcW w:w="770" w:type="dxa"/>
          </w:tcPr>
          <w:p w14:paraId="5065C387" w14:textId="77777777" w:rsidR="001A23BD" w:rsidRPr="005E67C8" w:rsidRDefault="00CD2171">
            <w:pPr>
              <w:pStyle w:val="TableParagraph"/>
              <w:ind w:left="258" w:right="163" w:hanging="72"/>
              <w:rPr>
                <w:b/>
                <w:sz w:val="20"/>
                <w:szCs w:val="20"/>
              </w:rPr>
            </w:pPr>
            <w:r w:rsidRPr="005E67C8">
              <w:rPr>
                <w:b/>
                <w:spacing w:val="-1"/>
                <w:sz w:val="20"/>
                <w:szCs w:val="20"/>
              </w:rPr>
              <w:t>Red.</w:t>
            </w:r>
            <w:r w:rsidRPr="005E67C8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5E67C8">
              <w:rPr>
                <w:b/>
                <w:sz w:val="20"/>
                <w:szCs w:val="20"/>
              </w:rPr>
              <w:t>br.</w:t>
            </w:r>
          </w:p>
        </w:tc>
        <w:tc>
          <w:tcPr>
            <w:tcW w:w="4305" w:type="dxa"/>
          </w:tcPr>
          <w:p w14:paraId="6B0AE2F7" w14:textId="77777777" w:rsidR="001A23BD" w:rsidRPr="005E67C8" w:rsidRDefault="00CD2171">
            <w:pPr>
              <w:pStyle w:val="TableParagraph"/>
              <w:spacing w:line="251" w:lineRule="exact"/>
              <w:ind w:left="1535" w:right="1521"/>
              <w:jc w:val="center"/>
              <w:rPr>
                <w:b/>
                <w:sz w:val="20"/>
                <w:szCs w:val="20"/>
              </w:rPr>
            </w:pPr>
            <w:r w:rsidRPr="005E67C8">
              <w:rPr>
                <w:b/>
                <w:sz w:val="20"/>
                <w:szCs w:val="20"/>
              </w:rPr>
              <w:t>KORISNICI</w:t>
            </w:r>
          </w:p>
        </w:tc>
        <w:tc>
          <w:tcPr>
            <w:tcW w:w="1699" w:type="dxa"/>
          </w:tcPr>
          <w:p w14:paraId="1BB1FE2A" w14:textId="0D0C4D46" w:rsidR="001A23BD" w:rsidRPr="005E67C8" w:rsidRDefault="00CD2171" w:rsidP="00560F09">
            <w:pPr>
              <w:pStyle w:val="TableParagraph"/>
              <w:spacing w:line="254" w:lineRule="exact"/>
              <w:ind w:left="490" w:right="337" w:hanging="118"/>
              <w:jc w:val="center"/>
              <w:rPr>
                <w:b/>
                <w:sz w:val="20"/>
                <w:szCs w:val="20"/>
              </w:rPr>
            </w:pPr>
            <w:r w:rsidRPr="005E67C8">
              <w:rPr>
                <w:b/>
                <w:sz w:val="20"/>
                <w:szCs w:val="20"/>
              </w:rPr>
              <w:t>PLAN ZA</w:t>
            </w:r>
            <w:r w:rsidRPr="005E67C8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5E67C8">
              <w:rPr>
                <w:b/>
                <w:sz w:val="20"/>
                <w:szCs w:val="20"/>
              </w:rPr>
              <w:t>202</w:t>
            </w:r>
            <w:r w:rsidR="009F7D13">
              <w:rPr>
                <w:b/>
                <w:sz w:val="20"/>
                <w:szCs w:val="20"/>
              </w:rPr>
              <w:t>5</w:t>
            </w:r>
            <w:r w:rsidRPr="005E67C8">
              <w:rPr>
                <w:b/>
                <w:sz w:val="20"/>
                <w:szCs w:val="20"/>
              </w:rPr>
              <w:t>.G.</w:t>
            </w:r>
            <w:r w:rsidR="00560F09" w:rsidRPr="005E67C8">
              <w:rPr>
                <w:b/>
                <w:sz w:val="20"/>
                <w:szCs w:val="20"/>
              </w:rPr>
              <w:t xml:space="preserve">    (</w:t>
            </w:r>
            <w:r w:rsidR="00596654" w:rsidRPr="005E67C8">
              <w:rPr>
                <w:b/>
                <w:sz w:val="20"/>
                <w:szCs w:val="20"/>
              </w:rPr>
              <w:t>EUR</w:t>
            </w:r>
            <w:r w:rsidR="00560F09" w:rsidRPr="005E67C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97" w:type="dxa"/>
          </w:tcPr>
          <w:p w14:paraId="16706268" w14:textId="2A0C9D27" w:rsidR="001A23BD" w:rsidRPr="005E67C8" w:rsidRDefault="00CD2171" w:rsidP="001E7FF8">
            <w:pPr>
              <w:pStyle w:val="TableParagraph"/>
              <w:ind w:left="116" w:right="100"/>
              <w:jc w:val="center"/>
              <w:rPr>
                <w:b/>
                <w:sz w:val="20"/>
                <w:szCs w:val="20"/>
              </w:rPr>
            </w:pPr>
            <w:r w:rsidRPr="005E67C8">
              <w:rPr>
                <w:b/>
                <w:sz w:val="20"/>
                <w:szCs w:val="20"/>
              </w:rPr>
              <w:t>IZVRŠENJE</w:t>
            </w:r>
            <w:r w:rsidRPr="005E67C8">
              <w:rPr>
                <w:b/>
                <w:spacing w:val="1"/>
                <w:sz w:val="20"/>
                <w:szCs w:val="20"/>
              </w:rPr>
              <w:t xml:space="preserve"> </w:t>
            </w:r>
            <w:r w:rsidR="001E7FF8" w:rsidRPr="005E67C8">
              <w:rPr>
                <w:b/>
                <w:spacing w:val="1"/>
                <w:sz w:val="20"/>
                <w:szCs w:val="20"/>
              </w:rPr>
              <w:t xml:space="preserve">         </w:t>
            </w:r>
            <w:r w:rsidR="001E7FF8" w:rsidRPr="005E67C8">
              <w:rPr>
                <w:b/>
                <w:sz w:val="20"/>
                <w:szCs w:val="20"/>
              </w:rPr>
              <w:t>202</w:t>
            </w:r>
            <w:r w:rsidR="009F7D13">
              <w:rPr>
                <w:b/>
                <w:sz w:val="20"/>
                <w:szCs w:val="20"/>
              </w:rPr>
              <w:t>5</w:t>
            </w:r>
            <w:r w:rsidR="001E7FF8" w:rsidRPr="005E67C8">
              <w:rPr>
                <w:b/>
                <w:sz w:val="20"/>
                <w:szCs w:val="20"/>
              </w:rPr>
              <w:t>.</w:t>
            </w:r>
            <w:r w:rsidR="00560F09" w:rsidRPr="005E67C8">
              <w:rPr>
                <w:b/>
                <w:sz w:val="20"/>
                <w:szCs w:val="20"/>
              </w:rPr>
              <w:t xml:space="preserve"> (</w:t>
            </w:r>
            <w:r w:rsidR="00596654" w:rsidRPr="005E67C8">
              <w:rPr>
                <w:b/>
                <w:sz w:val="20"/>
                <w:szCs w:val="20"/>
              </w:rPr>
              <w:t>EUR)</w:t>
            </w:r>
          </w:p>
        </w:tc>
        <w:tc>
          <w:tcPr>
            <w:tcW w:w="1421" w:type="dxa"/>
          </w:tcPr>
          <w:p w14:paraId="707BFEC1" w14:textId="77777777" w:rsidR="001A23BD" w:rsidRPr="005E67C8" w:rsidRDefault="00CD2171">
            <w:pPr>
              <w:pStyle w:val="TableParagraph"/>
              <w:ind w:left="306" w:right="297"/>
              <w:jc w:val="center"/>
              <w:rPr>
                <w:b/>
                <w:sz w:val="20"/>
                <w:szCs w:val="20"/>
              </w:rPr>
            </w:pPr>
            <w:r w:rsidRPr="005E67C8">
              <w:rPr>
                <w:b/>
                <w:sz w:val="20"/>
                <w:szCs w:val="20"/>
              </w:rPr>
              <w:t>INDEKS</w:t>
            </w:r>
          </w:p>
          <w:p w14:paraId="5FE91D2F" w14:textId="77777777" w:rsidR="001A23BD" w:rsidRPr="005E67C8" w:rsidRDefault="00CD2171">
            <w:pPr>
              <w:pStyle w:val="TableParagraph"/>
              <w:ind w:left="13"/>
              <w:jc w:val="center"/>
              <w:rPr>
                <w:b/>
                <w:sz w:val="20"/>
                <w:szCs w:val="20"/>
              </w:rPr>
            </w:pPr>
            <w:r w:rsidRPr="005E67C8">
              <w:rPr>
                <w:b/>
                <w:w w:val="99"/>
                <w:sz w:val="20"/>
                <w:szCs w:val="20"/>
              </w:rPr>
              <w:t>%</w:t>
            </w:r>
          </w:p>
        </w:tc>
      </w:tr>
      <w:tr w:rsidR="00AF7FC6" w:rsidRPr="001A3467" w14:paraId="6261203E" w14:textId="77777777" w:rsidTr="00AF7FC6">
        <w:trPr>
          <w:trHeight w:val="497"/>
        </w:trPr>
        <w:tc>
          <w:tcPr>
            <w:tcW w:w="770" w:type="dxa"/>
          </w:tcPr>
          <w:p w14:paraId="792F505D" w14:textId="0E67FA47" w:rsidR="00AF7FC6" w:rsidRPr="001A3467" w:rsidRDefault="00AF7FC6" w:rsidP="00AF7FC6">
            <w:pPr>
              <w:pStyle w:val="TableParagraph"/>
              <w:ind w:left="290" w:right="280"/>
              <w:jc w:val="center"/>
              <w:rPr>
                <w:b/>
                <w:color w:val="FF0000"/>
              </w:rPr>
            </w:pPr>
            <w:r w:rsidRPr="001A3467">
              <w:rPr>
                <w:b/>
              </w:rPr>
              <w:t>1.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89CA3" w14:textId="77777777" w:rsidR="00AF7FC6" w:rsidRPr="001A3467" w:rsidRDefault="00AF7FC6" w:rsidP="00AF7FC6">
            <w:pPr>
              <w:autoSpaceDE/>
              <w:rPr>
                <w:rFonts w:eastAsia="Calibri"/>
              </w:rPr>
            </w:pPr>
            <w:r w:rsidRPr="001A3467">
              <w:rPr>
                <w:rFonts w:eastAsia="Calibri"/>
              </w:rPr>
              <w:t>POMOĆI UMIROVLJENICIMA</w:t>
            </w:r>
          </w:p>
          <w:p w14:paraId="078E5407" w14:textId="77777777" w:rsidR="00AF7FC6" w:rsidRDefault="00AF7FC6" w:rsidP="00AF7FC6">
            <w:pPr>
              <w:pStyle w:val="TableParagraph"/>
              <w:spacing w:line="230" w:lineRule="atLeast"/>
              <w:ind w:left="110" w:right="1132"/>
              <w:rPr>
                <w:rFonts w:eastAsia="Calibri"/>
              </w:rPr>
            </w:pPr>
            <w:r w:rsidRPr="001A3467">
              <w:rPr>
                <w:rFonts w:eastAsia="Calibri"/>
              </w:rPr>
              <w:t xml:space="preserve">- Božićnice </w:t>
            </w:r>
            <w:r w:rsidR="003C0879" w:rsidRPr="001A3467">
              <w:rPr>
                <w:rFonts w:eastAsia="Calibri"/>
              </w:rPr>
              <w:t xml:space="preserve">i </w:t>
            </w:r>
            <w:r w:rsidR="009F7D13" w:rsidRPr="001A3467">
              <w:rPr>
                <w:rFonts w:eastAsia="Calibri"/>
              </w:rPr>
              <w:t>Uskrsnice</w:t>
            </w:r>
            <w:r w:rsidR="003C0879" w:rsidRPr="001A3467">
              <w:rPr>
                <w:rFonts w:eastAsia="Calibri"/>
              </w:rPr>
              <w:t xml:space="preserve"> </w:t>
            </w:r>
            <w:r w:rsidRPr="001A3467">
              <w:rPr>
                <w:rFonts w:eastAsia="Calibri"/>
              </w:rPr>
              <w:t>za umirovljenike</w:t>
            </w:r>
          </w:p>
          <w:p w14:paraId="73F266A1" w14:textId="11B47C4A" w:rsidR="009F7D13" w:rsidRPr="001A3467" w:rsidRDefault="009F7D13" w:rsidP="00AF7FC6">
            <w:pPr>
              <w:pStyle w:val="TableParagraph"/>
              <w:spacing w:line="230" w:lineRule="atLeast"/>
              <w:ind w:left="110" w:right="1132"/>
            </w:pPr>
            <w:r>
              <w:rPr>
                <w:rFonts w:eastAsia="Calibri"/>
              </w:rPr>
              <w:t>- Ostale naknade iz proračuna u naravi</w:t>
            </w:r>
          </w:p>
        </w:tc>
        <w:tc>
          <w:tcPr>
            <w:tcW w:w="1699" w:type="dxa"/>
          </w:tcPr>
          <w:p w14:paraId="355829BF" w14:textId="77777777" w:rsidR="00AF7FC6" w:rsidRPr="001A3467" w:rsidRDefault="00AF7FC6" w:rsidP="00AF7FC6">
            <w:pPr>
              <w:pStyle w:val="TableParagraph"/>
              <w:rPr>
                <w:b/>
              </w:rPr>
            </w:pPr>
          </w:p>
          <w:p w14:paraId="7AFCF6DF" w14:textId="77777777" w:rsidR="00AF7FC6" w:rsidRDefault="009F7D13" w:rsidP="00AF7FC6">
            <w:pPr>
              <w:pStyle w:val="TableParagraph"/>
              <w:ind w:right="91"/>
              <w:jc w:val="right"/>
            </w:pPr>
            <w:r>
              <w:t>28</w:t>
            </w:r>
            <w:r w:rsidR="00AF7FC6" w:rsidRPr="001A3467">
              <w:t>.000,00</w:t>
            </w:r>
          </w:p>
          <w:p w14:paraId="3B28F37D" w14:textId="77777777" w:rsidR="009F7D13" w:rsidRDefault="009F7D13" w:rsidP="00AF7FC6">
            <w:pPr>
              <w:pStyle w:val="TableParagraph"/>
              <w:ind w:right="91"/>
              <w:jc w:val="right"/>
            </w:pPr>
          </w:p>
          <w:p w14:paraId="12465696" w14:textId="290B6CD0" w:rsidR="009F7D13" w:rsidRPr="001A3467" w:rsidRDefault="009F7D13" w:rsidP="00AF7FC6">
            <w:pPr>
              <w:pStyle w:val="TableParagraph"/>
              <w:ind w:right="91"/>
              <w:jc w:val="right"/>
            </w:pPr>
            <w:r>
              <w:t>1.000,00</w:t>
            </w:r>
          </w:p>
        </w:tc>
        <w:tc>
          <w:tcPr>
            <w:tcW w:w="1697" w:type="dxa"/>
          </w:tcPr>
          <w:p w14:paraId="2F7475EF" w14:textId="77777777" w:rsidR="00AF7FC6" w:rsidRPr="001A3467" w:rsidRDefault="00AF7FC6" w:rsidP="00600BC6">
            <w:pPr>
              <w:pStyle w:val="TableParagraph"/>
              <w:ind w:right="90"/>
              <w:jc w:val="right"/>
              <w:rPr>
                <w:b/>
              </w:rPr>
            </w:pPr>
          </w:p>
          <w:p w14:paraId="48546F7A" w14:textId="77777777" w:rsidR="00AF7FC6" w:rsidRDefault="009F7D13" w:rsidP="00600BC6">
            <w:pPr>
              <w:pStyle w:val="TableParagraph"/>
              <w:ind w:left="111" w:right="90"/>
              <w:jc w:val="right"/>
            </w:pPr>
            <w:r>
              <w:t>26.880,00</w:t>
            </w:r>
          </w:p>
          <w:p w14:paraId="06A3AC73" w14:textId="77777777" w:rsidR="009F7D13" w:rsidRDefault="009F7D13" w:rsidP="00600BC6">
            <w:pPr>
              <w:pStyle w:val="TableParagraph"/>
              <w:ind w:left="111" w:right="90"/>
              <w:jc w:val="right"/>
            </w:pPr>
          </w:p>
          <w:p w14:paraId="21DD2991" w14:textId="63F29294" w:rsidR="009F7D13" w:rsidRPr="001A3467" w:rsidRDefault="009F7D13" w:rsidP="00600BC6">
            <w:pPr>
              <w:pStyle w:val="TableParagraph"/>
              <w:ind w:left="111" w:right="90"/>
              <w:jc w:val="right"/>
            </w:pPr>
            <w:r>
              <w:t>1.091,45</w:t>
            </w:r>
          </w:p>
        </w:tc>
        <w:tc>
          <w:tcPr>
            <w:tcW w:w="1421" w:type="dxa"/>
          </w:tcPr>
          <w:p w14:paraId="3C906E0D" w14:textId="77777777" w:rsidR="00AF7FC6" w:rsidRPr="001A3467" w:rsidRDefault="00AF7FC6" w:rsidP="00600BC6">
            <w:pPr>
              <w:pStyle w:val="TableParagraph"/>
              <w:ind w:right="98"/>
              <w:jc w:val="right"/>
              <w:rPr>
                <w:b/>
              </w:rPr>
            </w:pPr>
          </w:p>
          <w:p w14:paraId="6A46D00D" w14:textId="778EF299" w:rsidR="00AF7FC6" w:rsidRDefault="009F7D13" w:rsidP="00600BC6">
            <w:pPr>
              <w:pStyle w:val="TableParagraph"/>
              <w:ind w:left="108" w:right="98"/>
              <w:jc w:val="right"/>
            </w:pPr>
            <w:r>
              <w:t>96,00</w:t>
            </w:r>
          </w:p>
          <w:p w14:paraId="431822A9" w14:textId="77777777" w:rsidR="009F7D13" w:rsidRDefault="009F7D13" w:rsidP="00600BC6">
            <w:pPr>
              <w:pStyle w:val="TableParagraph"/>
              <w:ind w:left="108" w:right="98"/>
              <w:jc w:val="right"/>
            </w:pPr>
          </w:p>
          <w:p w14:paraId="0BDAC26A" w14:textId="1F428B2C" w:rsidR="009F7D13" w:rsidRPr="001A3467" w:rsidRDefault="009F7D13" w:rsidP="00600BC6">
            <w:pPr>
              <w:pStyle w:val="TableParagraph"/>
              <w:ind w:left="108" w:right="98"/>
              <w:jc w:val="right"/>
            </w:pPr>
            <w:r>
              <w:t>109,15</w:t>
            </w:r>
          </w:p>
        </w:tc>
      </w:tr>
      <w:tr w:rsidR="00AF7FC6" w:rsidRPr="001A3467" w14:paraId="16CD3960" w14:textId="77777777" w:rsidTr="008B5F73">
        <w:trPr>
          <w:trHeight w:val="229"/>
        </w:trPr>
        <w:tc>
          <w:tcPr>
            <w:tcW w:w="770" w:type="dxa"/>
          </w:tcPr>
          <w:p w14:paraId="431ECC28" w14:textId="77777777" w:rsidR="00AF7FC6" w:rsidRPr="001A3467" w:rsidRDefault="00AF7FC6" w:rsidP="00AF7FC6">
            <w:pPr>
              <w:pStyle w:val="TableParagraph"/>
              <w:rPr>
                <w:color w:val="FF0000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AE803" w14:textId="18873CED" w:rsidR="00AF7FC6" w:rsidRPr="001A3467" w:rsidRDefault="00AF7FC6" w:rsidP="00AF7FC6">
            <w:pPr>
              <w:pStyle w:val="TableParagraph"/>
              <w:spacing w:line="210" w:lineRule="exact"/>
              <w:ind w:left="110"/>
              <w:rPr>
                <w:b/>
              </w:rPr>
            </w:pPr>
            <w:r w:rsidRPr="001A3467">
              <w:rPr>
                <w:rFonts w:eastAsia="Calibri"/>
                <w:b/>
              </w:rPr>
              <w:t>Ukupno:</w:t>
            </w:r>
          </w:p>
        </w:tc>
        <w:tc>
          <w:tcPr>
            <w:tcW w:w="1699" w:type="dxa"/>
          </w:tcPr>
          <w:p w14:paraId="5EF36785" w14:textId="5AA9A717" w:rsidR="00AF7FC6" w:rsidRPr="001A3467" w:rsidRDefault="009F7D13" w:rsidP="00AF7FC6">
            <w:pPr>
              <w:pStyle w:val="TableParagraph"/>
              <w:spacing w:line="210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29</w:t>
            </w:r>
            <w:r w:rsidR="00AF7FC6" w:rsidRPr="001A3467">
              <w:rPr>
                <w:b/>
              </w:rPr>
              <w:t>.000,00</w:t>
            </w:r>
          </w:p>
        </w:tc>
        <w:tc>
          <w:tcPr>
            <w:tcW w:w="1697" w:type="dxa"/>
          </w:tcPr>
          <w:p w14:paraId="3AD74E81" w14:textId="4724FDA7" w:rsidR="00AF7FC6" w:rsidRPr="001A3467" w:rsidRDefault="009F7D13" w:rsidP="00600BC6">
            <w:pPr>
              <w:pStyle w:val="TableParagraph"/>
              <w:spacing w:line="210" w:lineRule="exact"/>
              <w:ind w:left="111" w:right="9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27.971,45</w:t>
            </w:r>
          </w:p>
        </w:tc>
        <w:tc>
          <w:tcPr>
            <w:tcW w:w="1421" w:type="dxa"/>
          </w:tcPr>
          <w:p w14:paraId="70EB87FF" w14:textId="490D41C9" w:rsidR="00AF7FC6" w:rsidRPr="001A3467" w:rsidRDefault="009F7D13" w:rsidP="00600BC6">
            <w:pPr>
              <w:pStyle w:val="TableParagraph"/>
              <w:spacing w:line="210" w:lineRule="exact"/>
              <w:ind w:left="108" w:right="9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96,45</w:t>
            </w:r>
          </w:p>
        </w:tc>
      </w:tr>
      <w:tr w:rsidR="00AF7FC6" w:rsidRPr="001A3467" w14:paraId="6E805DD2" w14:textId="77777777" w:rsidTr="008B5F73">
        <w:trPr>
          <w:trHeight w:val="774"/>
        </w:trPr>
        <w:tc>
          <w:tcPr>
            <w:tcW w:w="770" w:type="dxa"/>
            <w:vMerge w:val="restart"/>
          </w:tcPr>
          <w:p w14:paraId="5A1ED58A" w14:textId="017A9BB6" w:rsidR="00AF7FC6" w:rsidRPr="001A3467" w:rsidRDefault="00AF7FC6" w:rsidP="00AF7FC6">
            <w:pPr>
              <w:pStyle w:val="TableParagraph"/>
              <w:ind w:left="290" w:right="280"/>
              <w:jc w:val="center"/>
              <w:rPr>
                <w:b/>
                <w:color w:val="FF0000"/>
              </w:rPr>
            </w:pPr>
            <w:r w:rsidRPr="001A3467">
              <w:rPr>
                <w:b/>
              </w:rPr>
              <w:t>2.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97F31" w14:textId="77777777" w:rsidR="00AF7FC6" w:rsidRPr="001A3467" w:rsidRDefault="00AF7FC6" w:rsidP="00AF7FC6">
            <w:pPr>
              <w:autoSpaceDE/>
              <w:rPr>
                <w:rFonts w:eastAsia="Calibri"/>
              </w:rPr>
            </w:pPr>
            <w:r w:rsidRPr="001A3467">
              <w:rPr>
                <w:rFonts w:eastAsia="Calibri"/>
              </w:rPr>
              <w:t>NAKNADA ŠTETA PRAVNIM I FIZIČKIM OSOBAMA</w:t>
            </w:r>
          </w:p>
          <w:p w14:paraId="28080979" w14:textId="77777777" w:rsidR="00AF7FC6" w:rsidRPr="001A3467" w:rsidRDefault="00AF7FC6" w:rsidP="00AF7FC6">
            <w:pPr>
              <w:pStyle w:val="TableParagraph"/>
              <w:spacing w:line="229" w:lineRule="exact"/>
              <w:ind w:left="110"/>
              <w:rPr>
                <w:rFonts w:eastAsia="Calibri"/>
              </w:rPr>
            </w:pPr>
            <w:r w:rsidRPr="001A3467">
              <w:rPr>
                <w:rFonts w:eastAsia="Calibri"/>
              </w:rPr>
              <w:t>- naknada štete uzrokovana prirodnim katastrofama</w:t>
            </w:r>
          </w:p>
          <w:p w14:paraId="3B5E2002" w14:textId="3D4AB585" w:rsidR="0036161F" w:rsidRPr="001A3467" w:rsidRDefault="0036161F" w:rsidP="0036161F">
            <w:pPr>
              <w:pStyle w:val="TableParagraph"/>
              <w:spacing w:line="229" w:lineRule="exact"/>
              <w:ind w:left="110"/>
              <w:rPr>
                <w:rFonts w:eastAsia="Calibri"/>
              </w:rPr>
            </w:pPr>
            <w:r w:rsidRPr="001A3467">
              <w:rPr>
                <w:rFonts w:eastAsia="Calibri"/>
              </w:rPr>
              <w:t>-ostale naknade šteta pravnim i fizičkim osobama</w:t>
            </w:r>
          </w:p>
        </w:tc>
        <w:tc>
          <w:tcPr>
            <w:tcW w:w="1699" w:type="dxa"/>
          </w:tcPr>
          <w:p w14:paraId="24FED33B" w14:textId="77777777" w:rsidR="00AF7FC6" w:rsidRPr="001A3467" w:rsidRDefault="00AF7FC6" w:rsidP="00AF7FC6">
            <w:pPr>
              <w:pStyle w:val="TableParagraph"/>
              <w:rPr>
                <w:b/>
              </w:rPr>
            </w:pPr>
          </w:p>
          <w:p w14:paraId="5EFA447D" w14:textId="77777777" w:rsidR="00AF7FC6" w:rsidRPr="001A3467" w:rsidRDefault="00AF7FC6" w:rsidP="00AF7FC6">
            <w:pPr>
              <w:pStyle w:val="TableParagraph"/>
              <w:spacing w:before="10"/>
              <w:rPr>
                <w:b/>
              </w:rPr>
            </w:pPr>
          </w:p>
          <w:p w14:paraId="2B43EC6C" w14:textId="7BBA2097" w:rsidR="00AF7FC6" w:rsidRPr="001A3467" w:rsidRDefault="003C0879" w:rsidP="00AF7FC6">
            <w:pPr>
              <w:pStyle w:val="TableParagraph"/>
              <w:ind w:right="91"/>
              <w:jc w:val="right"/>
            </w:pPr>
            <w:r w:rsidRPr="001A3467">
              <w:t>8</w:t>
            </w:r>
            <w:r w:rsidR="00AF7FC6" w:rsidRPr="001A3467">
              <w:t>.</w:t>
            </w:r>
            <w:r w:rsidR="0036161F" w:rsidRPr="001A3467">
              <w:t>5</w:t>
            </w:r>
            <w:r w:rsidR="00AF7FC6" w:rsidRPr="001A3467">
              <w:t>00,00</w:t>
            </w:r>
          </w:p>
          <w:p w14:paraId="72CD7ABD" w14:textId="77777777" w:rsidR="0036161F" w:rsidRPr="001A3467" w:rsidRDefault="0036161F" w:rsidP="00AF7FC6">
            <w:pPr>
              <w:pStyle w:val="TableParagraph"/>
              <w:ind w:right="91"/>
              <w:jc w:val="right"/>
            </w:pPr>
          </w:p>
          <w:p w14:paraId="4222693E" w14:textId="2827E319" w:rsidR="0036161F" w:rsidRPr="001A3467" w:rsidRDefault="0036161F" w:rsidP="0036161F">
            <w:pPr>
              <w:pStyle w:val="TableParagraph"/>
              <w:ind w:right="91"/>
              <w:jc w:val="right"/>
            </w:pPr>
            <w:r w:rsidRPr="001A3467">
              <w:t>1.500,00</w:t>
            </w:r>
          </w:p>
        </w:tc>
        <w:tc>
          <w:tcPr>
            <w:tcW w:w="1697" w:type="dxa"/>
          </w:tcPr>
          <w:p w14:paraId="3D2C56B3" w14:textId="77777777" w:rsidR="00AF7FC6" w:rsidRPr="001A3467" w:rsidRDefault="00AF7FC6" w:rsidP="00600BC6">
            <w:pPr>
              <w:pStyle w:val="TableParagraph"/>
              <w:ind w:right="90"/>
              <w:jc w:val="right"/>
              <w:rPr>
                <w:b/>
              </w:rPr>
            </w:pPr>
          </w:p>
          <w:p w14:paraId="6906EF6F" w14:textId="77777777" w:rsidR="00AF7FC6" w:rsidRPr="001A3467" w:rsidRDefault="00AF7FC6" w:rsidP="00600BC6">
            <w:pPr>
              <w:pStyle w:val="TableParagraph"/>
              <w:spacing w:before="1"/>
              <w:ind w:right="90"/>
              <w:jc w:val="right"/>
              <w:rPr>
                <w:b/>
              </w:rPr>
            </w:pPr>
          </w:p>
          <w:p w14:paraId="3979B2E7" w14:textId="314BE3A2" w:rsidR="00AF7FC6" w:rsidRPr="001A3467" w:rsidRDefault="009F7D13" w:rsidP="00600BC6">
            <w:pPr>
              <w:pStyle w:val="TableParagraph"/>
              <w:ind w:left="111" w:right="90"/>
              <w:jc w:val="right"/>
            </w:pPr>
            <w:r>
              <w:t>2.957,70</w:t>
            </w:r>
          </w:p>
          <w:p w14:paraId="4F986F2C" w14:textId="77777777" w:rsidR="0036161F" w:rsidRPr="001A3467" w:rsidRDefault="0036161F" w:rsidP="00600BC6">
            <w:pPr>
              <w:pStyle w:val="TableParagraph"/>
              <w:ind w:left="111" w:right="90"/>
              <w:jc w:val="right"/>
            </w:pPr>
          </w:p>
          <w:p w14:paraId="4A1C706E" w14:textId="5325019A" w:rsidR="0036161F" w:rsidRPr="001A3467" w:rsidRDefault="0036161F" w:rsidP="00600BC6">
            <w:pPr>
              <w:pStyle w:val="TableParagraph"/>
              <w:ind w:left="111" w:right="90"/>
              <w:jc w:val="right"/>
            </w:pPr>
            <w:r w:rsidRPr="001A3467">
              <w:t>0,00</w:t>
            </w:r>
          </w:p>
        </w:tc>
        <w:tc>
          <w:tcPr>
            <w:tcW w:w="1421" w:type="dxa"/>
          </w:tcPr>
          <w:p w14:paraId="40121682" w14:textId="77777777" w:rsidR="00AF7FC6" w:rsidRPr="001A3467" w:rsidRDefault="00AF7FC6" w:rsidP="00600BC6">
            <w:pPr>
              <w:pStyle w:val="TableParagraph"/>
              <w:ind w:right="98"/>
              <w:jc w:val="right"/>
              <w:rPr>
                <w:b/>
              </w:rPr>
            </w:pPr>
          </w:p>
          <w:p w14:paraId="10F65E4F" w14:textId="77777777" w:rsidR="00AF7FC6" w:rsidRPr="001A3467" w:rsidRDefault="00AF7FC6" w:rsidP="00600BC6">
            <w:pPr>
              <w:pStyle w:val="TableParagraph"/>
              <w:spacing w:before="1"/>
              <w:ind w:right="98"/>
              <w:jc w:val="right"/>
              <w:rPr>
                <w:b/>
              </w:rPr>
            </w:pPr>
          </w:p>
          <w:p w14:paraId="2505B4A2" w14:textId="09F26A2A" w:rsidR="00AF7FC6" w:rsidRPr="001A3467" w:rsidRDefault="009F7D13" w:rsidP="00600BC6">
            <w:pPr>
              <w:pStyle w:val="TableParagraph"/>
              <w:ind w:left="108" w:right="98"/>
              <w:jc w:val="right"/>
            </w:pPr>
            <w:r>
              <w:t>34,80</w:t>
            </w:r>
          </w:p>
          <w:p w14:paraId="0B75067D" w14:textId="77777777" w:rsidR="0036161F" w:rsidRPr="001A3467" w:rsidRDefault="0036161F" w:rsidP="00600BC6">
            <w:pPr>
              <w:pStyle w:val="TableParagraph"/>
              <w:ind w:left="108" w:right="98"/>
              <w:jc w:val="right"/>
            </w:pPr>
          </w:p>
          <w:p w14:paraId="568CB173" w14:textId="35F63533" w:rsidR="0036161F" w:rsidRPr="001A3467" w:rsidRDefault="0036161F" w:rsidP="00600BC6">
            <w:pPr>
              <w:pStyle w:val="TableParagraph"/>
              <w:ind w:left="108" w:right="98"/>
              <w:jc w:val="right"/>
            </w:pPr>
            <w:r w:rsidRPr="001A3467">
              <w:t>0,00</w:t>
            </w:r>
          </w:p>
        </w:tc>
      </w:tr>
      <w:tr w:rsidR="00AF7FC6" w:rsidRPr="001A3467" w14:paraId="0F318250" w14:textId="77777777" w:rsidTr="008B5F73">
        <w:trPr>
          <w:trHeight w:val="230"/>
        </w:trPr>
        <w:tc>
          <w:tcPr>
            <w:tcW w:w="770" w:type="dxa"/>
            <w:vMerge/>
            <w:tcBorders>
              <w:top w:val="nil"/>
            </w:tcBorders>
          </w:tcPr>
          <w:p w14:paraId="4D9C2159" w14:textId="77777777" w:rsidR="00AF7FC6" w:rsidRPr="001A3467" w:rsidRDefault="00AF7FC6" w:rsidP="00AF7FC6">
            <w:pPr>
              <w:rPr>
                <w:color w:val="FF0000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82813" w14:textId="53AE6030" w:rsidR="00AF7FC6" w:rsidRPr="001A3467" w:rsidRDefault="00AF7FC6" w:rsidP="00AF7FC6">
            <w:pPr>
              <w:pStyle w:val="TableParagraph"/>
              <w:spacing w:line="210" w:lineRule="exact"/>
              <w:ind w:left="110"/>
              <w:rPr>
                <w:b/>
              </w:rPr>
            </w:pPr>
            <w:r w:rsidRPr="001A3467">
              <w:rPr>
                <w:rFonts w:eastAsia="Calibri"/>
                <w:b/>
              </w:rPr>
              <w:t>Ukupno:</w:t>
            </w:r>
          </w:p>
        </w:tc>
        <w:tc>
          <w:tcPr>
            <w:tcW w:w="1699" w:type="dxa"/>
          </w:tcPr>
          <w:p w14:paraId="28E64B74" w14:textId="15BECA7B" w:rsidR="00AF7FC6" w:rsidRPr="001A3467" w:rsidRDefault="003C0879" w:rsidP="00AF7FC6">
            <w:pPr>
              <w:pStyle w:val="TableParagraph"/>
              <w:spacing w:line="210" w:lineRule="exact"/>
              <w:ind w:right="90"/>
              <w:jc w:val="right"/>
              <w:rPr>
                <w:b/>
              </w:rPr>
            </w:pPr>
            <w:r w:rsidRPr="001A3467">
              <w:rPr>
                <w:b/>
              </w:rPr>
              <w:t>10</w:t>
            </w:r>
            <w:r w:rsidR="00AF7FC6" w:rsidRPr="001A3467">
              <w:rPr>
                <w:b/>
              </w:rPr>
              <w:t>.000,00</w:t>
            </w:r>
          </w:p>
        </w:tc>
        <w:tc>
          <w:tcPr>
            <w:tcW w:w="1697" w:type="dxa"/>
          </w:tcPr>
          <w:p w14:paraId="25E96002" w14:textId="4520D9AF" w:rsidR="00AF7FC6" w:rsidRPr="001A3467" w:rsidRDefault="009F7D13" w:rsidP="00600BC6">
            <w:pPr>
              <w:pStyle w:val="TableParagraph"/>
              <w:spacing w:line="210" w:lineRule="exact"/>
              <w:ind w:left="111" w:right="9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2.957,70</w:t>
            </w:r>
          </w:p>
        </w:tc>
        <w:tc>
          <w:tcPr>
            <w:tcW w:w="1421" w:type="dxa"/>
          </w:tcPr>
          <w:p w14:paraId="0514EF6B" w14:textId="6C48C347" w:rsidR="00AF7FC6" w:rsidRPr="001A3467" w:rsidRDefault="009F7D13" w:rsidP="00600BC6">
            <w:pPr>
              <w:pStyle w:val="TableParagraph"/>
              <w:spacing w:line="210" w:lineRule="exact"/>
              <w:ind w:left="108" w:right="9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29,58</w:t>
            </w:r>
          </w:p>
        </w:tc>
      </w:tr>
      <w:tr w:rsidR="00AF7FC6" w:rsidRPr="001A3467" w14:paraId="708DB45C" w14:textId="77777777" w:rsidTr="008B5F73">
        <w:trPr>
          <w:trHeight w:val="460"/>
        </w:trPr>
        <w:tc>
          <w:tcPr>
            <w:tcW w:w="770" w:type="dxa"/>
            <w:vMerge w:val="restart"/>
          </w:tcPr>
          <w:p w14:paraId="4EFAB837" w14:textId="37F61C0D" w:rsidR="00AF7FC6" w:rsidRPr="001A3467" w:rsidRDefault="00AF7FC6" w:rsidP="00AF7FC6">
            <w:pPr>
              <w:pStyle w:val="TableParagraph"/>
              <w:ind w:left="290" w:right="280"/>
              <w:jc w:val="center"/>
              <w:rPr>
                <w:b/>
                <w:color w:val="FF0000"/>
              </w:rPr>
            </w:pPr>
            <w:r w:rsidRPr="001A3467">
              <w:rPr>
                <w:b/>
              </w:rPr>
              <w:t>3.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8BFB" w14:textId="77777777" w:rsidR="00AF7FC6" w:rsidRPr="001A3467" w:rsidRDefault="00AF7FC6" w:rsidP="00AF7FC6">
            <w:pPr>
              <w:autoSpaceDE/>
              <w:rPr>
                <w:rFonts w:eastAsia="Calibri"/>
              </w:rPr>
            </w:pPr>
            <w:r w:rsidRPr="001A3467">
              <w:rPr>
                <w:rFonts w:eastAsia="Calibri"/>
              </w:rPr>
              <w:t>SUFINANCIRANJE RADA CRVENOG KRIŽA DARUVAR</w:t>
            </w:r>
          </w:p>
          <w:p w14:paraId="79005F30" w14:textId="035D2A67" w:rsidR="00AF7FC6" w:rsidRPr="001A3467" w:rsidRDefault="00AF7FC6" w:rsidP="00AF7FC6">
            <w:pPr>
              <w:pStyle w:val="TableParagraph"/>
              <w:spacing w:line="210" w:lineRule="exact"/>
              <w:ind w:left="110"/>
            </w:pPr>
            <w:r w:rsidRPr="001A3467">
              <w:rPr>
                <w:rFonts w:eastAsia="Calibri"/>
              </w:rPr>
              <w:t>- tekuće donacije</w:t>
            </w:r>
          </w:p>
        </w:tc>
        <w:tc>
          <w:tcPr>
            <w:tcW w:w="1699" w:type="dxa"/>
          </w:tcPr>
          <w:p w14:paraId="444D850F" w14:textId="77777777" w:rsidR="0036161F" w:rsidRPr="001A3467" w:rsidRDefault="0036161F" w:rsidP="00AF7FC6">
            <w:pPr>
              <w:pStyle w:val="TableParagraph"/>
              <w:ind w:right="92"/>
              <w:jc w:val="right"/>
            </w:pPr>
          </w:p>
          <w:p w14:paraId="456C5E24" w14:textId="77777777" w:rsidR="0036161F" w:rsidRPr="001A3467" w:rsidRDefault="0036161F" w:rsidP="00AF7FC6">
            <w:pPr>
              <w:pStyle w:val="TableParagraph"/>
              <w:ind w:right="92"/>
              <w:jc w:val="right"/>
            </w:pPr>
          </w:p>
          <w:p w14:paraId="1E50ABA7" w14:textId="1EB55296" w:rsidR="00AF7FC6" w:rsidRPr="001A3467" w:rsidRDefault="003C0879" w:rsidP="00AF7FC6">
            <w:pPr>
              <w:pStyle w:val="TableParagraph"/>
              <w:ind w:right="92"/>
              <w:jc w:val="right"/>
            </w:pPr>
            <w:r w:rsidRPr="001A3467">
              <w:t>3</w:t>
            </w:r>
            <w:r w:rsidR="00AF7FC6" w:rsidRPr="001A3467">
              <w:t>.</w:t>
            </w:r>
            <w:r w:rsidRPr="001A3467">
              <w:t>0</w:t>
            </w:r>
            <w:r w:rsidR="00AF7FC6" w:rsidRPr="001A3467">
              <w:t>00,00</w:t>
            </w:r>
          </w:p>
        </w:tc>
        <w:tc>
          <w:tcPr>
            <w:tcW w:w="1697" w:type="dxa"/>
          </w:tcPr>
          <w:p w14:paraId="049E4118" w14:textId="77777777" w:rsidR="00AF7FC6" w:rsidRPr="001A3467" w:rsidRDefault="00AF7FC6" w:rsidP="00600BC6">
            <w:pPr>
              <w:pStyle w:val="TableParagraph"/>
              <w:ind w:left="111" w:right="90"/>
              <w:jc w:val="right"/>
            </w:pPr>
          </w:p>
          <w:p w14:paraId="533AB5AB" w14:textId="77777777" w:rsidR="0036161F" w:rsidRPr="001A3467" w:rsidRDefault="0036161F" w:rsidP="00600BC6">
            <w:pPr>
              <w:pStyle w:val="TableParagraph"/>
              <w:ind w:left="111" w:right="90"/>
              <w:jc w:val="right"/>
            </w:pPr>
          </w:p>
          <w:p w14:paraId="17D5D8D9" w14:textId="6B28D085" w:rsidR="0036161F" w:rsidRPr="001A3467" w:rsidRDefault="003C0879" w:rsidP="00600BC6">
            <w:pPr>
              <w:pStyle w:val="TableParagraph"/>
              <w:ind w:left="111" w:right="90"/>
              <w:jc w:val="right"/>
            </w:pPr>
            <w:r w:rsidRPr="001A3467">
              <w:t>3</w:t>
            </w:r>
            <w:r w:rsidR="0036161F" w:rsidRPr="001A3467">
              <w:t>.</w:t>
            </w:r>
            <w:r w:rsidRPr="001A3467">
              <w:t>0</w:t>
            </w:r>
            <w:r w:rsidR="0036161F" w:rsidRPr="001A3467">
              <w:t>00,00</w:t>
            </w:r>
          </w:p>
        </w:tc>
        <w:tc>
          <w:tcPr>
            <w:tcW w:w="1421" w:type="dxa"/>
          </w:tcPr>
          <w:p w14:paraId="43C378EB" w14:textId="77777777" w:rsidR="00AF7FC6" w:rsidRPr="001A3467" w:rsidRDefault="00AF7FC6" w:rsidP="00600BC6">
            <w:pPr>
              <w:pStyle w:val="TableParagraph"/>
              <w:ind w:left="108" w:right="98"/>
              <w:jc w:val="right"/>
            </w:pPr>
          </w:p>
          <w:p w14:paraId="293698E5" w14:textId="77777777" w:rsidR="0036161F" w:rsidRPr="001A3467" w:rsidRDefault="0036161F" w:rsidP="00600BC6">
            <w:pPr>
              <w:pStyle w:val="TableParagraph"/>
              <w:ind w:left="108" w:right="98"/>
              <w:jc w:val="right"/>
            </w:pPr>
          </w:p>
          <w:p w14:paraId="01ECB2A2" w14:textId="635A5524" w:rsidR="0036161F" w:rsidRPr="001A3467" w:rsidRDefault="0036161F" w:rsidP="00600BC6">
            <w:pPr>
              <w:pStyle w:val="TableParagraph"/>
              <w:ind w:left="108" w:right="98"/>
              <w:jc w:val="right"/>
            </w:pPr>
            <w:r w:rsidRPr="001A3467">
              <w:t>100,00</w:t>
            </w:r>
          </w:p>
        </w:tc>
      </w:tr>
      <w:tr w:rsidR="00AF7FC6" w:rsidRPr="001A3467" w14:paraId="6BAC1327" w14:textId="77777777" w:rsidTr="008B5F73">
        <w:trPr>
          <w:trHeight w:val="230"/>
        </w:trPr>
        <w:tc>
          <w:tcPr>
            <w:tcW w:w="770" w:type="dxa"/>
            <w:vMerge/>
            <w:tcBorders>
              <w:top w:val="nil"/>
            </w:tcBorders>
          </w:tcPr>
          <w:p w14:paraId="074D2085" w14:textId="77777777" w:rsidR="00AF7FC6" w:rsidRPr="001A3467" w:rsidRDefault="00AF7FC6" w:rsidP="00AF7FC6">
            <w:pPr>
              <w:rPr>
                <w:color w:val="FF0000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53282" w14:textId="623706E6" w:rsidR="00AF7FC6" w:rsidRPr="001A3467" w:rsidRDefault="00AF7FC6" w:rsidP="00AF7FC6">
            <w:pPr>
              <w:pStyle w:val="TableParagraph"/>
              <w:spacing w:line="210" w:lineRule="exact"/>
              <w:ind w:left="110"/>
              <w:rPr>
                <w:b/>
              </w:rPr>
            </w:pPr>
            <w:r w:rsidRPr="001A3467">
              <w:rPr>
                <w:rFonts w:eastAsia="Calibri"/>
                <w:b/>
              </w:rPr>
              <w:t>Ukupno:</w:t>
            </w:r>
          </w:p>
        </w:tc>
        <w:tc>
          <w:tcPr>
            <w:tcW w:w="1699" w:type="dxa"/>
          </w:tcPr>
          <w:p w14:paraId="57CF74CD" w14:textId="1FBD4A95" w:rsidR="00AF7FC6" w:rsidRPr="001A3467" w:rsidRDefault="003C0879" w:rsidP="00AF7FC6">
            <w:pPr>
              <w:pStyle w:val="TableParagraph"/>
              <w:spacing w:line="210" w:lineRule="exact"/>
              <w:ind w:right="91"/>
              <w:jc w:val="right"/>
              <w:rPr>
                <w:b/>
              </w:rPr>
            </w:pPr>
            <w:r w:rsidRPr="001A3467">
              <w:rPr>
                <w:b/>
              </w:rPr>
              <w:t>3</w:t>
            </w:r>
            <w:r w:rsidR="00AF7FC6" w:rsidRPr="001A3467">
              <w:rPr>
                <w:b/>
              </w:rPr>
              <w:t>.</w:t>
            </w:r>
            <w:r w:rsidRPr="001A3467">
              <w:rPr>
                <w:b/>
              </w:rPr>
              <w:t>0</w:t>
            </w:r>
            <w:r w:rsidR="00AF7FC6" w:rsidRPr="001A3467">
              <w:rPr>
                <w:b/>
              </w:rPr>
              <w:t>00,00</w:t>
            </w:r>
          </w:p>
        </w:tc>
        <w:tc>
          <w:tcPr>
            <w:tcW w:w="1697" w:type="dxa"/>
          </w:tcPr>
          <w:p w14:paraId="4CC0B291" w14:textId="4E822094" w:rsidR="00AF7FC6" w:rsidRPr="001A3467" w:rsidRDefault="003C0879" w:rsidP="00600BC6">
            <w:pPr>
              <w:pStyle w:val="TableParagraph"/>
              <w:spacing w:line="210" w:lineRule="exact"/>
              <w:ind w:left="111" w:right="90"/>
              <w:jc w:val="right"/>
              <w:rPr>
                <w:b/>
                <w:bCs/>
              </w:rPr>
            </w:pPr>
            <w:r w:rsidRPr="001A3467">
              <w:rPr>
                <w:b/>
                <w:bCs/>
              </w:rPr>
              <w:t>3</w:t>
            </w:r>
            <w:r w:rsidR="0036161F" w:rsidRPr="001A3467">
              <w:rPr>
                <w:b/>
                <w:bCs/>
              </w:rPr>
              <w:t>.</w:t>
            </w:r>
            <w:r w:rsidRPr="001A3467">
              <w:rPr>
                <w:b/>
                <w:bCs/>
              </w:rPr>
              <w:t>0</w:t>
            </w:r>
            <w:r w:rsidR="0036161F" w:rsidRPr="001A3467">
              <w:rPr>
                <w:b/>
                <w:bCs/>
              </w:rPr>
              <w:t>00,00</w:t>
            </w:r>
          </w:p>
        </w:tc>
        <w:tc>
          <w:tcPr>
            <w:tcW w:w="1421" w:type="dxa"/>
          </w:tcPr>
          <w:p w14:paraId="178F3334" w14:textId="49C8E1C1" w:rsidR="00AF7FC6" w:rsidRPr="001A3467" w:rsidRDefault="0036161F" w:rsidP="00600BC6">
            <w:pPr>
              <w:pStyle w:val="TableParagraph"/>
              <w:spacing w:line="210" w:lineRule="exact"/>
              <w:ind w:left="108" w:right="98"/>
              <w:jc w:val="right"/>
              <w:rPr>
                <w:b/>
                <w:bCs/>
              </w:rPr>
            </w:pPr>
            <w:r w:rsidRPr="001A3467">
              <w:rPr>
                <w:b/>
                <w:bCs/>
              </w:rPr>
              <w:t>100,00</w:t>
            </w:r>
          </w:p>
        </w:tc>
      </w:tr>
      <w:tr w:rsidR="00AF7FC6" w:rsidRPr="001A3467" w14:paraId="0C5E1044" w14:textId="77777777" w:rsidTr="008B5F73">
        <w:trPr>
          <w:trHeight w:val="688"/>
        </w:trPr>
        <w:tc>
          <w:tcPr>
            <w:tcW w:w="770" w:type="dxa"/>
            <w:vMerge w:val="restart"/>
          </w:tcPr>
          <w:p w14:paraId="4367A106" w14:textId="27CF6834" w:rsidR="00AF7FC6" w:rsidRPr="001A3467" w:rsidRDefault="00AF7FC6" w:rsidP="00AF7FC6">
            <w:pPr>
              <w:pStyle w:val="TableParagraph"/>
              <w:ind w:left="290" w:right="280"/>
              <w:jc w:val="center"/>
              <w:rPr>
                <w:b/>
                <w:color w:val="FF0000"/>
              </w:rPr>
            </w:pPr>
            <w:r w:rsidRPr="001A3467">
              <w:rPr>
                <w:b/>
              </w:rPr>
              <w:t>4.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A42EE" w14:textId="77777777" w:rsidR="00AF7FC6" w:rsidRPr="001A3467" w:rsidRDefault="00AF7FC6" w:rsidP="00AF7FC6">
            <w:pPr>
              <w:autoSpaceDE/>
              <w:rPr>
                <w:rFonts w:eastAsia="Calibri"/>
              </w:rPr>
            </w:pPr>
            <w:r w:rsidRPr="001A3467">
              <w:rPr>
                <w:rFonts w:eastAsia="Calibri"/>
              </w:rPr>
              <w:t>POMOĆ ZA NOVOROĐENČE</w:t>
            </w:r>
          </w:p>
          <w:p w14:paraId="08142B7D" w14:textId="39A67EE6" w:rsidR="00AF7FC6" w:rsidRPr="001A3467" w:rsidRDefault="00AF7FC6" w:rsidP="00AF7FC6">
            <w:pPr>
              <w:pStyle w:val="TableParagraph"/>
              <w:spacing w:line="208" w:lineRule="exact"/>
              <w:ind w:left="110"/>
            </w:pPr>
            <w:r w:rsidRPr="001A3467">
              <w:rPr>
                <w:rFonts w:eastAsia="Calibri"/>
              </w:rPr>
              <w:t>-porodiljne naknade i oprema za novorođenčad</w:t>
            </w:r>
          </w:p>
        </w:tc>
        <w:tc>
          <w:tcPr>
            <w:tcW w:w="1699" w:type="dxa"/>
          </w:tcPr>
          <w:p w14:paraId="49A8F241" w14:textId="77777777" w:rsidR="0036161F" w:rsidRPr="001A3467" w:rsidRDefault="0036161F" w:rsidP="00AF7FC6">
            <w:pPr>
              <w:pStyle w:val="TableParagraph"/>
              <w:ind w:right="92"/>
              <w:jc w:val="right"/>
            </w:pPr>
          </w:p>
          <w:p w14:paraId="08D52245" w14:textId="4E4A2E32" w:rsidR="00AF7FC6" w:rsidRPr="001A3467" w:rsidRDefault="004C24F9" w:rsidP="00AF7FC6">
            <w:pPr>
              <w:pStyle w:val="TableParagraph"/>
              <w:ind w:right="92"/>
              <w:jc w:val="right"/>
            </w:pPr>
            <w:r>
              <w:t>5</w:t>
            </w:r>
            <w:r w:rsidR="00AF7FC6" w:rsidRPr="001A3467">
              <w:t>.000,00</w:t>
            </w:r>
          </w:p>
        </w:tc>
        <w:tc>
          <w:tcPr>
            <w:tcW w:w="1697" w:type="dxa"/>
          </w:tcPr>
          <w:p w14:paraId="68C86AEF" w14:textId="77777777" w:rsidR="0036161F" w:rsidRPr="001A3467" w:rsidRDefault="0036161F" w:rsidP="00600BC6">
            <w:pPr>
              <w:pStyle w:val="TableParagraph"/>
              <w:ind w:left="111" w:right="90"/>
              <w:jc w:val="right"/>
            </w:pPr>
          </w:p>
          <w:p w14:paraId="73906BF5" w14:textId="1DF96E32" w:rsidR="00AF7FC6" w:rsidRPr="001A3467" w:rsidRDefault="0036161F" w:rsidP="00600BC6">
            <w:pPr>
              <w:pStyle w:val="TableParagraph"/>
              <w:ind w:left="111" w:right="90"/>
              <w:jc w:val="right"/>
            </w:pPr>
            <w:r w:rsidRPr="001A3467">
              <w:t>4.</w:t>
            </w:r>
            <w:r w:rsidR="004C24F9">
              <w:t>271,48</w:t>
            </w:r>
          </w:p>
        </w:tc>
        <w:tc>
          <w:tcPr>
            <w:tcW w:w="1421" w:type="dxa"/>
          </w:tcPr>
          <w:p w14:paraId="3265C067" w14:textId="77777777" w:rsidR="0036161F" w:rsidRPr="001A3467" w:rsidRDefault="0036161F" w:rsidP="00600BC6">
            <w:pPr>
              <w:pStyle w:val="TableParagraph"/>
              <w:ind w:left="108" w:right="98"/>
              <w:jc w:val="right"/>
            </w:pPr>
          </w:p>
          <w:p w14:paraId="068A8D5E" w14:textId="607C4A2C" w:rsidR="00AF7FC6" w:rsidRPr="001A3467" w:rsidRDefault="004C24F9" w:rsidP="00600BC6">
            <w:pPr>
              <w:pStyle w:val="TableParagraph"/>
              <w:ind w:left="108" w:right="98"/>
              <w:jc w:val="right"/>
            </w:pPr>
            <w:r>
              <w:t>85,43</w:t>
            </w:r>
          </w:p>
        </w:tc>
      </w:tr>
      <w:tr w:rsidR="00AF7FC6" w:rsidRPr="001A3467" w14:paraId="7D90B9C2" w14:textId="77777777" w:rsidTr="008B5F73">
        <w:trPr>
          <w:trHeight w:val="229"/>
        </w:trPr>
        <w:tc>
          <w:tcPr>
            <w:tcW w:w="770" w:type="dxa"/>
            <w:vMerge/>
            <w:tcBorders>
              <w:top w:val="nil"/>
            </w:tcBorders>
          </w:tcPr>
          <w:p w14:paraId="0FA2AE43" w14:textId="77777777" w:rsidR="00AF7FC6" w:rsidRPr="001A3467" w:rsidRDefault="00AF7FC6" w:rsidP="00AF7FC6">
            <w:pPr>
              <w:rPr>
                <w:color w:val="FF0000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40499" w14:textId="3372DF75" w:rsidR="00AF7FC6" w:rsidRPr="001A3467" w:rsidRDefault="00AF7FC6" w:rsidP="00AF7FC6">
            <w:pPr>
              <w:pStyle w:val="TableParagraph"/>
              <w:spacing w:line="210" w:lineRule="exact"/>
              <w:ind w:left="110"/>
              <w:rPr>
                <w:b/>
              </w:rPr>
            </w:pPr>
            <w:r w:rsidRPr="001A3467">
              <w:rPr>
                <w:rFonts w:eastAsia="Calibri"/>
                <w:b/>
              </w:rPr>
              <w:t>Ukupno:</w:t>
            </w:r>
          </w:p>
        </w:tc>
        <w:tc>
          <w:tcPr>
            <w:tcW w:w="1699" w:type="dxa"/>
          </w:tcPr>
          <w:p w14:paraId="08314DA2" w14:textId="02A145F7" w:rsidR="00AF7FC6" w:rsidRPr="001A3467" w:rsidRDefault="004C24F9" w:rsidP="00AF7FC6">
            <w:pPr>
              <w:pStyle w:val="TableParagraph"/>
              <w:spacing w:line="210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AF7FC6" w:rsidRPr="001A3467">
              <w:rPr>
                <w:b/>
              </w:rPr>
              <w:t>.000,00</w:t>
            </w:r>
          </w:p>
        </w:tc>
        <w:tc>
          <w:tcPr>
            <w:tcW w:w="1697" w:type="dxa"/>
          </w:tcPr>
          <w:p w14:paraId="667BF0A1" w14:textId="20B45B0A" w:rsidR="00AF7FC6" w:rsidRPr="001A3467" w:rsidRDefault="0036161F" w:rsidP="00600BC6">
            <w:pPr>
              <w:pStyle w:val="TableParagraph"/>
              <w:spacing w:line="210" w:lineRule="exact"/>
              <w:ind w:left="111" w:right="90"/>
              <w:jc w:val="right"/>
              <w:rPr>
                <w:b/>
              </w:rPr>
            </w:pPr>
            <w:r w:rsidRPr="001A3467">
              <w:rPr>
                <w:b/>
              </w:rPr>
              <w:t>4</w:t>
            </w:r>
            <w:r w:rsidR="00AF7FC6" w:rsidRPr="001A3467">
              <w:rPr>
                <w:b/>
              </w:rPr>
              <w:t>.</w:t>
            </w:r>
            <w:r w:rsidR="004C24F9">
              <w:rPr>
                <w:b/>
              </w:rPr>
              <w:t>271</w:t>
            </w:r>
            <w:r w:rsidR="00AF7FC6" w:rsidRPr="001A3467">
              <w:rPr>
                <w:b/>
              </w:rPr>
              <w:t>,</w:t>
            </w:r>
            <w:r w:rsidR="004C24F9">
              <w:rPr>
                <w:b/>
              </w:rPr>
              <w:t>48</w:t>
            </w:r>
          </w:p>
        </w:tc>
        <w:tc>
          <w:tcPr>
            <w:tcW w:w="1421" w:type="dxa"/>
          </w:tcPr>
          <w:p w14:paraId="3BCB33D8" w14:textId="1AD979A1" w:rsidR="00AF7FC6" w:rsidRPr="001A3467" w:rsidRDefault="004C24F9" w:rsidP="00600BC6">
            <w:pPr>
              <w:pStyle w:val="TableParagraph"/>
              <w:spacing w:line="210" w:lineRule="exact"/>
              <w:ind w:left="108" w:right="98"/>
              <w:jc w:val="right"/>
              <w:rPr>
                <w:b/>
              </w:rPr>
            </w:pPr>
            <w:r>
              <w:rPr>
                <w:b/>
              </w:rPr>
              <w:t>85,43</w:t>
            </w:r>
          </w:p>
        </w:tc>
      </w:tr>
      <w:tr w:rsidR="00AF7FC6" w:rsidRPr="001A3467" w14:paraId="7DACE4A7" w14:textId="77777777" w:rsidTr="008B5F73">
        <w:trPr>
          <w:trHeight w:val="690"/>
        </w:trPr>
        <w:tc>
          <w:tcPr>
            <w:tcW w:w="770" w:type="dxa"/>
            <w:vMerge w:val="restart"/>
          </w:tcPr>
          <w:p w14:paraId="343354F1" w14:textId="789EB643" w:rsidR="00AF7FC6" w:rsidRPr="001A3467" w:rsidRDefault="00AF7FC6" w:rsidP="00AF7FC6">
            <w:pPr>
              <w:pStyle w:val="TableParagraph"/>
              <w:ind w:left="290" w:right="280"/>
              <w:jc w:val="center"/>
              <w:rPr>
                <w:b/>
                <w:color w:val="FF0000"/>
              </w:rPr>
            </w:pPr>
            <w:r w:rsidRPr="001A3467">
              <w:rPr>
                <w:b/>
              </w:rPr>
              <w:t>5.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92184" w14:textId="77777777" w:rsidR="00AF7FC6" w:rsidRPr="001A3467" w:rsidRDefault="00AF7FC6" w:rsidP="00AF7FC6">
            <w:pPr>
              <w:autoSpaceDE/>
              <w:rPr>
                <w:rFonts w:eastAsia="Calibri"/>
              </w:rPr>
            </w:pPr>
            <w:r w:rsidRPr="001A3467">
              <w:rPr>
                <w:rFonts w:eastAsia="Calibri"/>
              </w:rPr>
              <w:t>JEDNOKRATNE NOVČANE POMOĆI OBITELJIMA I KUĆANSTVIMA</w:t>
            </w:r>
          </w:p>
          <w:p w14:paraId="4D848123" w14:textId="29C7858B" w:rsidR="00AF7FC6" w:rsidRPr="001A3467" w:rsidRDefault="00AF7FC6" w:rsidP="00AF7FC6">
            <w:pPr>
              <w:pStyle w:val="TableParagraph"/>
              <w:spacing w:before="1" w:line="210" w:lineRule="exact"/>
              <w:ind w:left="110"/>
            </w:pPr>
            <w:r w:rsidRPr="001A3467">
              <w:rPr>
                <w:rFonts w:eastAsia="Calibri"/>
              </w:rPr>
              <w:t>- jednokratne naknade</w:t>
            </w:r>
          </w:p>
        </w:tc>
        <w:tc>
          <w:tcPr>
            <w:tcW w:w="1699" w:type="dxa"/>
          </w:tcPr>
          <w:p w14:paraId="6F5B05E3" w14:textId="77777777" w:rsidR="00AF7FC6" w:rsidRPr="001A3467" w:rsidRDefault="00AF7FC6" w:rsidP="00AF7FC6">
            <w:pPr>
              <w:pStyle w:val="TableParagraph"/>
              <w:rPr>
                <w:b/>
              </w:rPr>
            </w:pPr>
          </w:p>
          <w:p w14:paraId="3671C105" w14:textId="77777777" w:rsidR="0036161F" w:rsidRPr="001A3467" w:rsidRDefault="0036161F" w:rsidP="00AF7FC6">
            <w:pPr>
              <w:pStyle w:val="TableParagraph"/>
              <w:ind w:right="92"/>
              <w:jc w:val="right"/>
            </w:pPr>
          </w:p>
          <w:p w14:paraId="11FDBE11" w14:textId="68189073" w:rsidR="00AF7FC6" w:rsidRPr="001A3467" w:rsidRDefault="003C0879" w:rsidP="00AF7FC6">
            <w:pPr>
              <w:pStyle w:val="TableParagraph"/>
              <w:ind w:right="92"/>
              <w:jc w:val="right"/>
            </w:pPr>
            <w:r w:rsidRPr="001A3467">
              <w:t>2</w:t>
            </w:r>
            <w:r w:rsidR="00AF7FC6" w:rsidRPr="001A3467">
              <w:t>.000,00</w:t>
            </w:r>
          </w:p>
        </w:tc>
        <w:tc>
          <w:tcPr>
            <w:tcW w:w="1697" w:type="dxa"/>
          </w:tcPr>
          <w:p w14:paraId="4E715B88" w14:textId="77777777" w:rsidR="00AF7FC6" w:rsidRPr="001A3467" w:rsidRDefault="00AF7FC6" w:rsidP="00600BC6">
            <w:pPr>
              <w:pStyle w:val="TableParagraph"/>
              <w:ind w:right="90"/>
              <w:jc w:val="right"/>
              <w:rPr>
                <w:b/>
              </w:rPr>
            </w:pPr>
          </w:p>
          <w:p w14:paraId="3F02541B" w14:textId="77777777" w:rsidR="0036161F" w:rsidRPr="001A3467" w:rsidRDefault="0036161F" w:rsidP="00600BC6">
            <w:pPr>
              <w:pStyle w:val="TableParagraph"/>
              <w:ind w:left="111" w:right="90"/>
              <w:jc w:val="right"/>
            </w:pPr>
          </w:p>
          <w:p w14:paraId="6DD14393" w14:textId="5A806BD0" w:rsidR="00AF7FC6" w:rsidRPr="001A3467" w:rsidRDefault="004C24F9" w:rsidP="00600BC6">
            <w:pPr>
              <w:pStyle w:val="TableParagraph"/>
              <w:ind w:left="111" w:right="90"/>
              <w:jc w:val="right"/>
            </w:pPr>
            <w:r>
              <w:t>2</w:t>
            </w:r>
            <w:r w:rsidR="00AF7FC6" w:rsidRPr="001A3467">
              <w:t>00,00</w:t>
            </w:r>
          </w:p>
        </w:tc>
        <w:tc>
          <w:tcPr>
            <w:tcW w:w="1421" w:type="dxa"/>
          </w:tcPr>
          <w:p w14:paraId="101A5012" w14:textId="77777777" w:rsidR="00AF7FC6" w:rsidRPr="001A3467" w:rsidRDefault="00AF7FC6" w:rsidP="00600BC6">
            <w:pPr>
              <w:pStyle w:val="TableParagraph"/>
              <w:ind w:right="98"/>
              <w:jc w:val="right"/>
              <w:rPr>
                <w:b/>
              </w:rPr>
            </w:pPr>
          </w:p>
          <w:p w14:paraId="315C16CE" w14:textId="77777777" w:rsidR="0036161F" w:rsidRPr="001A3467" w:rsidRDefault="0036161F" w:rsidP="00600BC6">
            <w:pPr>
              <w:pStyle w:val="TableParagraph"/>
              <w:ind w:left="108" w:right="98"/>
              <w:jc w:val="right"/>
            </w:pPr>
          </w:p>
          <w:p w14:paraId="5C7E8B25" w14:textId="24EA27D4" w:rsidR="00AF7FC6" w:rsidRPr="001A3467" w:rsidRDefault="004C24F9" w:rsidP="00600BC6">
            <w:pPr>
              <w:pStyle w:val="TableParagraph"/>
              <w:ind w:left="108" w:right="98"/>
              <w:jc w:val="right"/>
            </w:pPr>
            <w:r>
              <w:t>10</w:t>
            </w:r>
            <w:r w:rsidR="00AF7FC6" w:rsidRPr="001A3467">
              <w:t>,00</w:t>
            </w:r>
          </w:p>
        </w:tc>
      </w:tr>
      <w:tr w:rsidR="00AF7FC6" w:rsidRPr="001A3467" w14:paraId="55F27B5C" w14:textId="77777777" w:rsidTr="008B5F73">
        <w:trPr>
          <w:trHeight w:val="227"/>
        </w:trPr>
        <w:tc>
          <w:tcPr>
            <w:tcW w:w="770" w:type="dxa"/>
            <w:vMerge/>
            <w:tcBorders>
              <w:top w:val="nil"/>
            </w:tcBorders>
          </w:tcPr>
          <w:p w14:paraId="6CCCCF2E" w14:textId="77777777" w:rsidR="00AF7FC6" w:rsidRPr="001A3467" w:rsidRDefault="00AF7FC6" w:rsidP="00AF7FC6">
            <w:pPr>
              <w:rPr>
                <w:color w:val="FF0000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502F0" w14:textId="498FB41B" w:rsidR="00AF7FC6" w:rsidRPr="001A3467" w:rsidRDefault="00AF7FC6" w:rsidP="00AF7FC6">
            <w:pPr>
              <w:pStyle w:val="TableParagraph"/>
              <w:spacing w:line="208" w:lineRule="exact"/>
              <w:ind w:left="110"/>
              <w:rPr>
                <w:b/>
              </w:rPr>
            </w:pPr>
            <w:r w:rsidRPr="001A3467">
              <w:rPr>
                <w:rFonts w:eastAsia="Calibri"/>
                <w:b/>
              </w:rPr>
              <w:t>Ukupno:</w:t>
            </w:r>
          </w:p>
        </w:tc>
        <w:tc>
          <w:tcPr>
            <w:tcW w:w="1699" w:type="dxa"/>
          </w:tcPr>
          <w:p w14:paraId="74BE61F7" w14:textId="3DD9C141" w:rsidR="00AF7FC6" w:rsidRPr="001A3467" w:rsidRDefault="003C0879" w:rsidP="00AF7FC6">
            <w:pPr>
              <w:pStyle w:val="TableParagraph"/>
              <w:spacing w:line="208" w:lineRule="exact"/>
              <w:ind w:right="92"/>
              <w:jc w:val="right"/>
              <w:rPr>
                <w:b/>
              </w:rPr>
            </w:pPr>
            <w:r w:rsidRPr="001A3467">
              <w:rPr>
                <w:b/>
              </w:rPr>
              <w:t>2</w:t>
            </w:r>
            <w:r w:rsidR="00AF7FC6" w:rsidRPr="001A3467">
              <w:rPr>
                <w:b/>
              </w:rPr>
              <w:t>.000,00</w:t>
            </w:r>
          </w:p>
        </w:tc>
        <w:tc>
          <w:tcPr>
            <w:tcW w:w="1697" w:type="dxa"/>
          </w:tcPr>
          <w:p w14:paraId="46C12416" w14:textId="37D8BC00" w:rsidR="00AF7FC6" w:rsidRPr="001A3467" w:rsidRDefault="004C24F9" w:rsidP="00600BC6">
            <w:pPr>
              <w:pStyle w:val="TableParagraph"/>
              <w:spacing w:line="208" w:lineRule="exact"/>
              <w:ind w:left="111" w:right="9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F7FC6" w:rsidRPr="001A3467">
              <w:rPr>
                <w:b/>
                <w:bCs/>
              </w:rPr>
              <w:t>00,00</w:t>
            </w:r>
          </w:p>
        </w:tc>
        <w:tc>
          <w:tcPr>
            <w:tcW w:w="1421" w:type="dxa"/>
          </w:tcPr>
          <w:p w14:paraId="7A92346F" w14:textId="652B6D5F" w:rsidR="00AF7FC6" w:rsidRPr="001A3467" w:rsidRDefault="004C24F9" w:rsidP="00600BC6">
            <w:pPr>
              <w:pStyle w:val="TableParagraph"/>
              <w:spacing w:line="208" w:lineRule="exact"/>
              <w:ind w:left="108" w:right="9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F7FC6" w:rsidRPr="001A3467">
              <w:rPr>
                <w:b/>
                <w:bCs/>
              </w:rPr>
              <w:t>,00</w:t>
            </w:r>
          </w:p>
        </w:tc>
      </w:tr>
    </w:tbl>
    <w:p w14:paraId="11561848" w14:textId="77777777" w:rsidR="001A23BD" w:rsidRDefault="001A23BD">
      <w:pPr>
        <w:spacing w:line="210" w:lineRule="exact"/>
        <w:rPr>
          <w:sz w:val="20"/>
        </w:rPr>
        <w:sectPr w:rsidR="001A23BD">
          <w:type w:val="continuous"/>
          <w:pgSz w:w="11910" w:h="16840"/>
          <w:pgMar w:top="112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4A0" w:firstRow="1" w:lastRow="0" w:firstColumn="1" w:lastColumn="0" w:noHBand="0" w:noVBand="1"/>
      </w:tblPr>
      <w:tblGrid>
        <w:gridCol w:w="770"/>
        <w:gridCol w:w="4305"/>
        <w:gridCol w:w="1699"/>
        <w:gridCol w:w="1785"/>
        <w:gridCol w:w="1331"/>
      </w:tblGrid>
      <w:tr w:rsidR="004C24F9" w:rsidRPr="001A3467" w14:paraId="3755009E" w14:textId="77777777" w:rsidTr="002D01F9">
        <w:trPr>
          <w:trHeight w:val="69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887" w14:textId="7BA78B66" w:rsidR="004C24F9" w:rsidRPr="001A3467" w:rsidRDefault="004C24F9" w:rsidP="00060CED">
            <w:pPr>
              <w:pStyle w:val="TableParagraph"/>
              <w:ind w:left="290" w:right="280"/>
              <w:jc w:val="center"/>
              <w:rPr>
                <w:b/>
                <w:color w:val="FF0000"/>
              </w:rPr>
            </w:pPr>
            <w:r>
              <w:rPr>
                <w:b/>
              </w:rPr>
              <w:lastRenderedPageBreak/>
              <w:t>6</w:t>
            </w:r>
            <w:r w:rsidRPr="001A3467">
              <w:rPr>
                <w:b/>
              </w:rPr>
              <w:t>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20BF" w14:textId="0D40E424" w:rsidR="004C24F9" w:rsidRPr="001A3467" w:rsidRDefault="004C24F9" w:rsidP="00060CED">
            <w:pPr>
              <w:autoSpaceDE/>
              <w:rPr>
                <w:rFonts w:eastAsia="Calibri"/>
              </w:rPr>
            </w:pPr>
            <w:r>
              <w:rPr>
                <w:rFonts w:eastAsia="Calibri"/>
              </w:rPr>
              <w:t>SUFINANCIRANJE BORAVKA DJECE U VRTIĆU - JASLICE</w:t>
            </w:r>
          </w:p>
          <w:p w14:paraId="4E7C00B9" w14:textId="7B7E22F7" w:rsidR="004C24F9" w:rsidRPr="001A3467" w:rsidRDefault="004C24F9" w:rsidP="00060CED">
            <w:pPr>
              <w:pStyle w:val="TableParagraph"/>
              <w:spacing w:before="1" w:line="210" w:lineRule="exact"/>
              <w:ind w:left="110"/>
            </w:pPr>
            <w:r w:rsidRPr="001A3467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ostale naknade iz proračuna u naravi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209" w14:textId="77777777" w:rsidR="004C24F9" w:rsidRPr="001A3467" w:rsidRDefault="004C24F9" w:rsidP="00060CED">
            <w:pPr>
              <w:pStyle w:val="TableParagraph"/>
              <w:rPr>
                <w:b/>
              </w:rPr>
            </w:pPr>
          </w:p>
          <w:p w14:paraId="2C38EB2B" w14:textId="77777777" w:rsidR="004C24F9" w:rsidRPr="001A3467" w:rsidRDefault="004C24F9" w:rsidP="00060CED">
            <w:pPr>
              <w:pStyle w:val="TableParagraph"/>
              <w:ind w:right="92"/>
              <w:jc w:val="right"/>
            </w:pPr>
          </w:p>
          <w:p w14:paraId="1EA2976E" w14:textId="12076A3D" w:rsidR="004C24F9" w:rsidRPr="001A3467" w:rsidRDefault="004C24F9" w:rsidP="00060CED">
            <w:pPr>
              <w:pStyle w:val="TableParagraph"/>
              <w:ind w:right="92"/>
              <w:jc w:val="right"/>
            </w:pPr>
            <w:r>
              <w:t>1</w:t>
            </w:r>
            <w:r w:rsidRPr="001A3467">
              <w:t>.</w:t>
            </w:r>
            <w:r>
              <w:t>7</w:t>
            </w:r>
            <w:r w:rsidRPr="001A3467">
              <w:t>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363" w14:textId="77777777" w:rsidR="004C24F9" w:rsidRPr="001A3467" w:rsidRDefault="004C24F9" w:rsidP="00060CED">
            <w:pPr>
              <w:pStyle w:val="TableParagraph"/>
              <w:ind w:right="90"/>
              <w:jc w:val="right"/>
              <w:rPr>
                <w:b/>
              </w:rPr>
            </w:pPr>
          </w:p>
          <w:p w14:paraId="0D92714C" w14:textId="77777777" w:rsidR="004C24F9" w:rsidRPr="001A3467" w:rsidRDefault="004C24F9" w:rsidP="00060CED">
            <w:pPr>
              <w:pStyle w:val="TableParagraph"/>
              <w:ind w:left="111" w:right="90"/>
              <w:jc w:val="right"/>
            </w:pPr>
          </w:p>
          <w:p w14:paraId="46112C67" w14:textId="02F3CFF7" w:rsidR="004C24F9" w:rsidRPr="001A3467" w:rsidRDefault="004C24F9" w:rsidP="00060CED">
            <w:pPr>
              <w:pStyle w:val="TableParagraph"/>
              <w:ind w:left="111" w:right="90"/>
              <w:jc w:val="right"/>
            </w:pPr>
            <w:r>
              <w:t>1.827,27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350" w14:textId="77777777" w:rsidR="004C24F9" w:rsidRPr="001A3467" w:rsidRDefault="004C24F9" w:rsidP="00060CED">
            <w:pPr>
              <w:pStyle w:val="TableParagraph"/>
              <w:ind w:right="98"/>
              <w:jc w:val="right"/>
              <w:rPr>
                <w:b/>
              </w:rPr>
            </w:pPr>
          </w:p>
          <w:p w14:paraId="2BE00A03" w14:textId="77777777" w:rsidR="004C24F9" w:rsidRPr="001A3467" w:rsidRDefault="004C24F9" w:rsidP="00060CED">
            <w:pPr>
              <w:pStyle w:val="TableParagraph"/>
              <w:ind w:left="108" w:right="98"/>
              <w:jc w:val="right"/>
            </w:pPr>
          </w:p>
          <w:p w14:paraId="4CECE689" w14:textId="533DE892" w:rsidR="004C24F9" w:rsidRPr="001A3467" w:rsidRDefault="004C24F9" w:rsidP="00060CED">
            <w:pPr>
              <w:pStyle w:val="TableParagraph"/>
              <w:ind w:left="108" w:right="98"/>
              <w:jc w:val="right"/>
            </w:pPr>
            <w:r>
              <w:t>107,49</w:t>
            </w:r>
          </w:p>
        </w:tc>
      </w:tr>
      <w:tr w:rsidR="004C24F9" w:rsidRPr="001A3467" w14:paraId="053F9FEF" w14:textId="77777777" w:rsidTr="002D01F9">
        <w:trPr>
          <w:trHeight w:val="227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7FC" w14:textId="77777777" w:rsidR="004C24F9" w:rsidRPr="001A3467" w:rsidRDefault="004C24F9" w:rsidP="00060CED">
            <w:pPr>
              <w:rPr>
                <w:color w:val="FF000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F8B" w14:textId="77777777" w:rsidR="004C24F9" w:rsidRPr="001A3467" w:rsidRDefault="004C24F9" w:rsidP="00060CED">
            <w:pPr>
              <w:pStyle w:val="TableParagraph"/>
              <w:spacing w:line="208" w:lineRule="exact"/>
              <w:ind w:left="110"/>
              <w:rPr>
                <w:b/>
              </w:rPr>
            </w:pPr>
            <w:r w:rsidRPr="001A3467">
              <w:rPr>
                <w:rFonts w:eastAsia="Calibri"/>
                <w:b/>
              </w:rPr>
              <w:t>Ukupno: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7AE" w14:textId="4027AAB3" w:rsidR="004C24F9" w:rsidRPr="001A3467" w:rsidRDefault="004C24F9" w:rsidP="00060CED">
            <w:pPr>
              <w:pStyle w:val="TableParagraph"/>
              <w:spacing w:line="208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1A3467">
              <w:rPr>
                <w:b/>
              </w:rPr>
              <w:t>.</w:t>
            </w:r>
            <w:r>
              <w:rPr>
                <w:b/>
              </w:rPr>
              <w:t>7</w:t>
            </w:r>
            <w:r w:rsidRPr="001A3467">
              <w:rPr>
                <w:b/>
              </w:rPr>
              <w:t>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9D2" w14:textId="3E14001E" w:rsidR="004C24F9" w:rsidRPr="001A3467" w:rsidRDefault="004C24F9" w:rsidP="00060CED">
            <w:pPr>
              <w:pStyle w:val="TableParagraph"/>
              <w:spacing w:line="208" w:lineRule="exact"/>
              <w:ind w:left="111" w:right="9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1.827,27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AC31" w14:textId="793E234E" w:rsidR="004C24F9" w:rsidRPr="001A3467" w:rsidRDefault="004C24F9" w:rsidP="00060CED">
            <w:pPr>
              <w:pStyle w:val="TableParagraph"/>
              <w:spacing w:line="208" w:lineRule="exact"/>
              <w:ind w:left="108" w:right="9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107,49</w:t>
            </w:r>
          </w:p>
        </w:tc>
      </w:tr>
      <w:tr w:rsidR="001A23BD" w:rsidRPr="001A3467" w14:paraId="45D63BC7" w14:textId="77777777" w:rsidTr="002D0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0"/>
        </w:trPr>
        <w:tc>
          <w:tcPr>
            <w:tcW w:w="770" w:type="dxa"/>
            <w:vMerge w:val="restart"/>
            <w:tcBorders>
              <w:top w:val="single" w:sz="4" w:space="0" w:color="auto"/>
            </w:tcBorders>
          </w:tcPr>
          <w:p w14:paraId="2EEE36FB" w14:textId="7F4CE745" w:rsidR="001A23BD" w:rsidRPr="001A3467" w:rsidRDefault="004C24F9">
            <w:pPr>
              <w:pStyle w:val="TableParagraph"/>
              <w:ind w:left="290" w:right="280"/>
              <w:jc w:val="center"/>
              <w:rPr>
                <w:b/>
                <w:color w:val="FF0000"/>
              </w:rPr>
            </w:pPr>
            <w:r>
              <w:rPr>
                <w:b/>
              </w:rPr>
              <w:t>7</w:t>
            </w:r>
            <w:r w:rsidR="0066614A" w:rsidRPr="001A3467">
              <w:rPr>
                <w:b/>
              </w:rPr>
              <w:t>.</w:t>
            </w:r>
          </w:p>
        </w:tc>
        <w:tc>
          <w:tcPr>
            <w:tcW w:w="4305" w:type="dxa"/>
            <w:tcBorders>
              <w:top w:val="single" w:sz="4" w:space="0" w:color="auto"/>
            </w:tcBorders>
          </w:tcPr>
          <w:p w14:paraId="03C01733" w14:textId="77777777" w:rsidR="001A23BD" w:rsidRPr="001A3467" w:rsidRDefault="00CD2171">
            <w:pPr>
              <w:pStyle w:val="TableParagraph"/>
              <w:ind w:left="110"/>
            </w:pPr>
            <w:r w:rsidRPr="001A3467">
              <w:t>OSTALE</w:t>
            </w:r>
            <w:r w:rsidRPr="001A3467">
              <w:rPr>
                <w:spacing w:val="-3"/>
              </w:rPr>
              <w:t xml:space="preserve"> </w:t>
            </w:r>
            <w:r w:rsidRPr="001A3467">
              <w:t>POMOĆI</w:t>
            </w:r>
            <w:r w:rsidRPr="001A3467">
              <w:rPr>
                <w:spacing w:val="-3"/>
              </w:rPr>
              <w:t xml:space="preserve"> </w:t>
            </w:r>
            <w:r w:rsidRPr="001A3467">
              <w:t>KUĆANSTVIMA</w:t>
            </w:r>
          </w:p>
          <w:p w14:paraId="3DC2104B" w14:textId="77777777" w:rsidR="0036161F" w:rsidRPr="001A3467" w:rsidRDefault="00CD2171" w:rsidP="0036161F">
            <w:pPr>
              <w:pStyle w:val="TableParagraph"/>
              <w:ind w:left="110"/>
            </w:pPr>
            <w:r w:rsidRPr="001A3467">
              <w:t>-ostale</w:t>
            </w:r>
            <w:r w:rsidRPr="001A3467">
              <w:rPr>
                <w:spacing w:val="-2"/>
              </w:rPr>
              <w:t xml:space="preserve"> </w:t>
            </w:r>
            <w:r w:rsidRPr="001A3467">
              <w:t>naknade</w:t>
            </w:r>
            <w:r w:rsidRPr="001A3467">
              <w:rPr>
                <w:spacing w:val="-1"/>
              </w:rPr>
              <w:t xml:space="preserve"> </w:t>
            </w:r>
            <w:r w:rsidRPr="001A3467">
              <w:t>iz</w:t>
            </w:r>
            <w:r w:rsidRPr="001A3467">
              <w:rPr>
                <w:spacing w:val="-4"/>
              </w:rPr>
              <w:t xml:space="preserve"> </w:t>
            </w:r>
            <w:r w:rsidRPr="001A3467">
              <w:t>proračunu u</w:t>
            </w:r>
            <w:r w:rsidRPr="001A3467">
              <w:rPr>
                <w:spacing w:val="-3"/>
              </w:rPr>
              <w:t xml:space="preserve"> </w:t>
            </w:r>
            <w:r w:rsidR="003C0879" w:rsidRPr="001A3467">
              <w:t>naravi</w:t>
            </w:r>
          </w:p>
          <w:p w14:paraId="4A055FE2" w14:textId="77777777" w:rsidR="003C0879" w:rsidRDefault="003C0879" w:rsidP="0036161F">
            <w:pPr>
              <w:pStyle w:val="TableParagraph"/>
              <w:ind w:left="110"/>
            </w:pPr>
            <w:r w:rsidRPr="001A3467">
              <w:t>-ostale naknade iz proračuna u novcu</w:t>
            </w:r>
          </w:p>
          <w:p w14:paraId="7B46B519" w14:textId="2DF8795C" w:rsidR="004C24F9" w:rsidRPr="001A3467" w:rsidRDefault="004C24F9" w:rsidP="0036161F">
            <w:pPr>
              <w:pStyle w:val="TableParagraph"/>
              <w:ind w:left="110"/>
            </w:pPr>
            <w:r>
              <w:t>-</w:t>
            </w:r>
            <w:r w:rsidR="002D01F9">
              <w:t>dodatna ulaganja na građevinskim objektima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41E0EA6B" w14:textId="77777777" w:rsidR="0036161F" w:rsidRPr="001A3467" w:rsidRDefault="0036161F">
            <w:pPr>
              <w:pStyle w:val="TableParagraph"/>
              <w:ind w:right="90"/>
              <w:jc w:val="right"/>
            </w:pPr>
          </w:p>
          <w:p w14:paraId="1D1D7120" w14:textId="77777777" w:rsidR="0036161F" w:rsidRPr="001A3467" w:rsidRDefault="003C0879" w:rsidP="0036161F">
            <w:pPr>
              <w:pStyle w:val="TableParagraph"/>
              <w:ind w:right="90"/>
              <w:jc w:val="right"/>
            </w:pPr>
            <w:r w:rsidRPr="001A3467">
              <w:t>5</w:t>
            </w:r>
            <w:r w:rsidR="0066614A" w:rsidRPr="001A3467">
              <w:t>00,00</w:t>
            </w:r>
          </w:p>
          <w:p w14:paraId="35AA734F" w14:textId="77777777" w:rsidR="003C0879" w:rsidRDefault="003C0879" w:rsidP="0036161F">
            <w:pPr>
              <w:pStyle w:val="TableParagraph"/>
              <w:ind w:right="90"/>
              <w:jc w:val="right"/>
            </w:pPr>
            <w:r w:rsidRPr="001A3467">
              <w:t>500,00</w:t>
            </w:r>
          </w:p>
          <w:p w14:paraId="629E7B6A" w14:textId="4B5CDFAC" w:rsidR="002D01F9" w:rsidRPr="001A3467" w:rsidRDefault="002D01F9" w:rsidP="0036161F">
            <w:pPr>
              <w:pStyle w:val="TableParagraph"/>
              <w:ind w:right="90"/>
              <w:jc w:val="right"/>
            </w:pPr>
            <w:r>
              <w:t>0,00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3F44719A" w14:textId="77777777" w:rsidR="0036161F" w:rsidRPr="001A3467" w:rsidRDefault="0036161F" w:rsidP="00600BC6">
            <w:pPr>
              <w:pStyle w:val="TableParagraph"/>
              <w:ind w:left="111" w:right="38"/>
              <w:jc w:val="right"/>
            </w:pPr>
          </w:p>
          <w:p w14:paraId="1B6D85BD" w14:textId="4A2B8594" w:rsidR="0036161F" w:rsidRPr="001A3467" w:rsidRDefault="002D01F9" w:rsidP="00600BC6">
            <w:pPr>
              <w:pStyle w:val="TableParagraph"/>
              <w:ind w:left="111" w:right="38"/>
              <w:jc w:val="right"/>
            </w:pPr>
            <w:r>
              <w:t>0,00</w:t>
            </w:r>
          </w:p>
          <w:p w14:paraId="020D763E" w14:textId="77777777" w:rsidR="003C0879" w:rsidRDefault="002D01F9" w:rsidP="00600BC6">
            <w:pPr>
              <w:pStyle w:val="TableParagraph"/>
              <w:ind w:left="111" w:right="38"/>
              <w:jc w:val="right"/>
            </w:pPr>
            <w:r>
              <w:t>174,85</w:t>
            </w:r>
          </w:p>
          <w:p w14:paraId="74F16ABF" w14:textId="77A28B17" w:rsidR="002D01F9" w:rsidRPr="001A3467" w:rsidRDefault="002D01F9" w:rsidP="00600BC6">
            <w:pPr>
              <w:pStyle w:val="TableParagraph"/>
              <w:ind w:left="111" w:right="38"/>
              <w:jc w:val="right"/>
            </w:pPr>
            <w:r>
              <w:t>508,02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F2AC9BB" w14:textId="77777777" w:rsidR="0036161F" w:rsidRPr="001A3467" w:rsidRDefault="0036161F" w:rsidP="00600BC6">
            <w:pPr>
              <w:pStyle w:val="TableParagraph"/>
              <w:ind w:left="109" w:right="98"/>
              <w:jc w:val="right"/>
            </w:pPr>
          </w:p>
          <w:p w14:paraId="7B88261E" w14:textId="1D000B9D" w:rsidR="0036161F" w:rsidRPr="001A3467" w:rsidRDefault="002D01F9" w:rsidP="00600BC6">
            <w:pPr>
              <w:pStyle w:val="TableParagraph"/>
              <w:ind w:left="109" w:right="98"/>
              <w:jc w:val="right"/>
            </w:pPr>
            <w:r>
              <w:t>0,00</w:t>
            </w:r>
          </w:p>
          <w:p w14:paraId="1BF43A92" w14:textId="77777777" w:rsidR="003C0879" w:rsidRDefault="002D01F9" w:rsidP="00600BC6">
            <w:pPr>
              <w:pStyle w:val="TableParagraph"/>
              <w:ind w:left="109" w:right="98"/>
              <w:jc w:val="right"/>
            </w:pPr>
            <w:r>
              <w:t>34,97</w:t>
            </w:r>
          </w:p>
          <w:p w14:paraId="6C990809" w14:textId="51A70BFE" w:rsidR="002D01F9" w:rsidRPr="001A3467" w:rsidRDefault="002D01F9" w:rsidP="00600BC6">
            <w:pPr>
              <w:pStyle w:val="TableParagraph"/>
              <w:ind w:left="109" w:right="98"/>
              <w:jc w:val="right"/>
            </w:pPr>
            <w:r>
              <w:t>0,00</w:t>
            </w:r>
          </w:p>
        </w:tc>
      </w:tr>
      <w:tr w:rsidR="001A23BD" w:rsidRPr="001A3467" w14:paraId="410BF43B" w14:textId="77777777" w:rsidTr="002D0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770" w:type="dxa"/>
            <w:vMerge/>
            <w:tcBorders>
              <w:top w:val="nil"/>
            </w:tcBorders>
          </w:tcPr>
          <w:p w14:paraId="46C01A88" w14:textId="77777777" w:rsidR="001A23BD" w:rsidRPr="001A3467" w:rsidRDefault="001A23BD">
            <w:pPr>
              <w:rPr>
                <w:color w:val="FF0000"/>
              </w:rPr>
            </w:pPr>
          </w:p>
        </w:tc>
        <w:tc>
          <w:tcPr>
            <w:tcW w:w="4305" w:type="dxa"/>
          </w:tcPr>
          <w:p w14:paraId="52C6BA0F" w14:textId="77777777" w:rsidR="001A23BD" w:rsidRPr="001A3467" w:rsidRDefault="00CD2171">
            <w:pPr>
              <w:pStyle w:val="TableParagraph"/>
              <w:spacing w:line="222" w:lineRule="exact"/>
              <w:ind w:left="110"/>
              <w:rPr>
                <w:b/>
              </w:rPr>
            </w:pPr>
            <w:r w:rsidRPr="001A3467">
              <w:rPr>
                <w:b/>
              </w:rPr>
              <w:t>Ukupno:</w:t>
            </w:r>
          </w:p>
        </w:tc>
        <w:tc>
          <w:tcPr>
            <w:tcW w:w="1699" w:type="dxa"/>
          </w:tcPr>
          <w:p w14:paraId="2CDCA572" w14:textId="7AFFF541" w:rsidR="001A23BD" w:rsidRPr="001A3467" w:rsidRDefault="0036161F">
            <w:pPr>
              <w:pStyle w:val="TableParagraph"/>
              <w:spacing w:line="222" w:lineRule="exact"/>
              <w:ind w:right="90"/>
              <w:jc w:val="right"/>
              <w:rPr>
                <w:b/>
              </w:rPr>
            </w:pPr>
            <w:r w:rsidRPr="001A3467">
              <w:rPr>
                <w:b/>
              </w:rPr>
              <w:t>1.000,00</w:t>
            </w:r>
          </w:p>
        </w:tc>
        <w:tc>
          <w:tcPr>
            <w:tcW w:w="1785" w:type="dxa"/>
          </w:tcPr>
          <w:p w14:paraId="27C3D1A5" w14:textId="1E66D449" w:rsidR="001A23BD" w:rsidRPr="001A3467" w:rsidRDefault="002D01F9" w:rsidP="00600BC6">
            <w:pPr>
              <w:pStyle w:val="TableParagraph"/>
              <w:spacing w:line="222" w:lineRule="exact"/>
              <w:ind w:left="111" w:right="3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682</w:t>
            </w:r>
            <w:r w:rsidR="003C0879" w:rsidRPr="001A3467">
              <w:rPr>
                <w:b/>
                <w:bCs/>
              </w:rPr>
              <w:t>,</w:t>
            </w:r>
            <w:r>
              <w:rPr>
                <w:b/>
                <w:bCs/>
              </w:rPr>
              <w:t>87</w:t>
            </w:r>
          </w:p>
        </w:tc>
        <w:tc>
          <w:tcPr>
            <w:tcW w:w="1331" w:type="dxa"/>
          </w:tcPr>
          <w:p w14:paraId="1E4E6882" w14:textId="568330B2" w:rsidR="001A23BD" w:rsidRPr="001A3467" w:rsidRDefault="002D01F9" w:rsidP="00600BC6">
            <w:pPr>
              <w:pStyle w:val="TableParagraph"/>
              <w:spacing w:line="222" w:lineRule="exact"/>
              <w:ind w:left="109" w:right="9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68,29</w:t>
            </w:r>
          </w:p>
        </w:tc>
      </w:tr>
      <w:tr w:rsidR="00AF7FC6" w:rsidRPr="001A3467" w14:paraId="568BDA08" w14:textId="77777777" w:rsidTr="002D0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688"/>
        </w:trPr>
        <w:tc>
          <w:tcPr>
            <w:tcW w:w="770" w:type="dxa"/>
            <w:vMerge w:val="restart"/>
          </w:tcPr>
          <w:p w14:paraId="02A54D56" w14:textId="67CD62DA" w:rsidR="00AF7FC6" w:rsidRPr="001A3467" w:rsidRDefault="00AF7FC6" w:rsidP="00AF7FC6">
            <w:pPr>
              <w:pStyle w:val="TableParagraph"/>
              <w:ind w:left="258"/>
              <w:rPr>
                <w:b/>
                <w:color w:val="FF0000"/>
              </w:rPr>
            </w:pPr>
            <w:r w:rsidRPr="001A3467">
              <w:rPr>
                <w:b/>
              </w:rPr>
              <w:t xml:space="preserve"> </w:t>
            </w:r>
            <w:r w:rsidR="004C24F9">
              <w:rPr>
                <w:b/>
              </w:rPr>
              <w:t>8</w:t>
            </w:r>
            <w:r w:rsidRPr="001A3467">
              <w:rPr>
                <w:b/>
              </w:rPr>
              <w:t>.</w:t>
            </w:r>
          </w:p>
        </w:tc>
        <w:tc>
          <w:tcPr>
            <w:tcW w:w="4305" w:type="dxa"/>
          </w:tcPr>
          <w:p w14:paraId="0BC77C83" w14:textId="4592D85F" w:rsidR="00AF7FC6" w:rsidRPr="001A3467" w:rsidRDefault="00AF7FC6" w:rsidP="00AF7FC6">
            <w:pPr>
              <w:rPr>
                <w:rFonts w:eastAsia="Calibri"/>
              </w:rPr>
            </w:pPr>
            <w:r w:rsidRPr="001A3467">
              <w:rPr>
                <w:rFonts w:eastAsia="Calibri"/>
              </w:rPr>
              <w:t>POTPORA MLADIM OBITELJIMA (KUPNJA I ADAPTACIJA PRVE NEKRETNINE)</w:t>
            </w:r>
          </w:p>
          <w:p w14:paraId="4DAB566D" w14:textId="7F0059A5" w:rsidR="00AF7FC6" w:rsidRPr="001A3467" w:rsidRDefault="00AF7FC6" w:rsidP="00AF7FC6">
            <w:pPr>
              <w:pStyle w:val="TableParagraph"/>
              <w:spacing w:line="208" w:lineRule="exact"/>
              <w:ind w:left="110"/>
            </w:pPr>
            <w:r w:rsidRPr="001A3467">
              <w:rPr>
                <w:rFonts w:eastAsia="Calibri"/>
                <w:bCs/>
              </w:rPr>
              <w:t>- pomoć obiteljima i kućanstvima – kupnja i adaptacija prve nekretnine</w:t>
            </w:r>
          </w:p>
        </w:tc>
        <w:tc>
          <w:tcPr>
            <w:tcW w:w="1699" w:type="dxa"/>
          </w:tcPr>
          <w:p w14:paraId="58046F79" w14:textId="77777777" w:rsidR="0036161F" w:rsidRPr="001A3467" w:rsidRDefault="0036161F" w:rsidP="00AF7FC6">
            <w:pPr>
              <w:pStyle w:val="TableParagraph"/>
              <w:ind w:right="90"/>
              <w:jc w:val="right"/>
            </w:pPr>
          </w:p>
          <w:p w14:paraId="43757EC1" w14:textId="77777777" w:rsidR="0036161F" w:rsidRPr="001A3467" w:rsidRDefault="0036161F" w:rsidP="00AF7FC6">
            <w:pPr>
              <w:pStyle w:val="TableParagraph"/>
              <w:ind w:right="90"/>
              <w:jc w:val="right"/>
            </w:pPr>
          </w:p>
          <w:p w14:paraId="61389FF6" w14:textId="77777777" w:rsidR="0036161F" w:rsidRPr="001A3467" w:rsidRDefault="0036161F" w:rsidP="00AF7FC6">
            <w:pPr>
              <w:pStyle w:val="TableParagraph"/>
              <w:ind w:right="90"/>
              <w:jc w:val="right"/>
            </w:pPr>
          </w:p>
          <w:p w14:paraId="411F777A" w14:textId="1C779151" w:rsidR="00AF7FC6" w:rsidRPr="001A3467" w:rsidRDefault="002D01F9" w:rsidP="0036161F">
            <w:pPr>
              <w:pStyle w:val="TableParagraph"/>
              <w:ind w:right="90"/>
              <w:jc w:val="right"/>
            </w:pPr>
            <w:r>
              <w:t>4</w:t>
            </w:r>
            <w:r w:rsidR="00AF7FC6" w:rsidRPr="001A3467">
              <w:t>.</w:t>
            </w:r>
            <w:r>
              <w:t>5</w:t>
            </w:r>
            <w:r w:rsidR="00AF7FC6" w:rsidRPr="001A3467">
              <w:t>00,00</w:t>
            </w:r>
          </w:p>
        </w:tc>
        <w:tc>
          <w:tcPr>
            <w:tcW w:w="1785" w:type="dxa"/>
          </w:tcPr>
          <w:p w14:paraId="47F6D0D1" w14:textId="77777777" w:rsidR="0036161F" w:rsidRPr="001A3467" w:rsidRDefault="0036161F" w:rsidP="00600BC6">
            <w:pPr>
              <w:pStyle w:val="TableParagraph"/>
              <w:ind w:left="111" w:right="38"/>
              <w:jc w:val="right"/>
            </w:pPr>
          </w:p>
          <w:p w14:paraId="6F6FF134" w14:textId="77777777" w:rsidR="0036161F" w:rsidRPr="001A3467" w:rsidRDefault="0036161F" w:rsidP="00600BC6">
            <w:pPr>
              <w:pStyle w:val="TableParagraph"/>
              <w:ind w:left="111" w:right="38"/>
              <w:jc w:val="right"/>
            </w:pPr>
          </w:p>
          <w:p w14:paraId="77050B54" w14:textId="77777777" w:rsidR="0036161F" w:rsidRPr="001A3467" w:rsidRDefault="0036161F" w:rsidP="00600BC6">
            <w:pPr>
              <w:pStyle w:val="TableParagraph"/>
              <w:ind w:left="111" w:right="38"/>
              <w:jc w:val="right"/>
            </w:pPr>
          </w:p>
          <w:p w14:paraId="6F376207" w14:textId="6B8A58EB" w:rsidR="00AF7FC6" w:rsidRPr="001A3467" w:rsidRDefault="003C0879" w:rsidP="00600BC6">
            <w:pPr>
              <w:pStyle w:val="TableParagraph"/>
              <w:ind w:left="111" w:right="38"/>
              <w:jc w:val="right"/>
            </w:pPr>
            <w:r w:rsidRPr="001A3467">
              <w:t>4</w:t>
            </w:r>
            <w:r w:rsidR="0036161F" w:rsidRPr="001A3467">
              <w:t>.</w:t>
            </w:r>
            <w:r w:rsidRPr="001A3467">
              <w:t>5</w:t>
            </w:r>
            <w:r w:rsidR="0036161F" w:rsidRPr="001A3467">
              <w:t>0</w:t>
            </w:r>
            <w:r w:rsidR="00AF7FC6" w:rsidRPr="001A3467">
              <w:t>0,00</w:t>
            </w:r>
          </w:p>
        </w:tc>
        <w:tc>
          <w:tcPr>
            <w:tcW w:w="1331" w:type="dxa"/>
          </w:tcPr>
          <w:p w14:paraId="49C3F624" w14:textId="77777777" w:rsidR="0036161F" w:rsidRPr="001A3467" w:rsidRDefault="0036161F" w:rsidP="00600BC6">
            <w:pPr>
              <w:pStyle w:val="TableParagraph"/>
              <w:ind w:left="109" w:right="98"/>
              <w:jc w:val="right"/>
            </w:pPr>
          </w:p>
          <w:p w14:paraId="46CC7D10" w14:textId="77777777" w:rsidR="0036161F" w:rsidRPr="001A3467" w:rsidRDefault="0036161F" w:rsidP="00600BC6">
            <w:pPr>
              <w:pStyle w:val="TableParagraph"/>
              <w:ind w:left="109" w:right="98"/>
              <w:jc w:val="right"/>
            </w:pPr>
          </w:p>
          <w:p w14:paraId="02DB779F" w14:textId="77777777" w:rsidR="0036161F" w:rsidRPr="001A3467" w:rsidRDefault="0036161F" w:rsidP="00600BC6">
            <w:pPr>
              <w:pStyle w:val="TableParagraph"/>
              <w:ind w:left="109" w:right="98"/>
              <w:jc w:val="right"/>
            </w:pPr>
          </w:p>
          <w:p w14:paraId="3AB89729" w14:textId="293E68F7" w:rsidR="00AF7FC6" w:rsidRPr="001A3467" w:rsidRDefault="002D01F9" w:rsidP="00600BC6">
            <w:pPr>
              <w:pStyle w:val="TableParagraph"/>
              <w:ind w:left="109" w:right="98"/>
              <w:jc w:val="right"/>
            </w:pPr>
            <w:r>
              <w:t>10</w:t>
            </w:r>
            <w:r w:rsidR="003C0879" w:rsidRPr="001A3467">
              <w:t>0</w:t>
            </w:r>
            <w:r w:rsidR="00AF7FC6" w:rsidRPr="001A3467">
              <w:t>,00</w:t>
            </w:r>
          </w:p>
        </w:tc>
      </w:tr>
      <w:tr w:rsidR="00AF7FC6" w:rsidRPr="001A3467" w14:paraId="1B630C3A" w14:textId="77777777" w:rsidTr="002D0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770" w:type="dxa"/>
            <w:vMerge/>
            <w:tcBorders>
              <w:top w:val="nil"/>
              <w:bottom w:val="single" w:sz="4" w:space="0" w:color="auto"/>
            </w:tcBorders>
          </w:tcPr>
          <w:p w14:paraId="4E385273" w14:textId="77777777" w:rsidR="00AF7FC6" w:rsidRPr="001A3467" w:rsidRDefault="00AF7FC6" w:rsidP="00AF7FC6">
            <w:pPr>
              <w:rPr>
                <w:color w:val="FF0000"/>
              </w:rPr>
            </w:pPr>
          </w:p>
        </w:tc>
        <w:tc>
          <w:tcPr>
            <w:tcW w:w="4305" w:type="dxa"/>
            <w:tcBorders>
              <w:bottom w:val="single" w:sz="4" w:space="0" w:color="auto"/>
            </w:tcBorders>
          </w:tcPr>
          <w:p w14:paraId="61BFF50B" w14:textId="77777777" w:rsidR="00AF7FC6" w:rsidRPr="001A3467" w:rsidRDefault="00AF7FC6" w:rsidP="00AF7FC6">
            <w:pPr>
              <w:pStyle w:val="TableParagraph"/>
              <w:ind w:left="110"/>
              <w:rPr>
                <w:b/>
              </w:rPr>
            </w:pPr>
            <w:r w:rsidRPr="001A3467">
              <w:rPr>
                <w:b/>
              </w:rPr>
              <w:t>Ukupno: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1C289D16" w14:textId="48F352C2" w:rsidR="00AF7FC6" w:rsidRPr="001A3467" w:rsidRDefault="002D01F9" w:rsidP="00AF7FC6">
            <w:pPr>
              <w:pStyle w:val="TableParagraph"/>
              <w:ind w:right="9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AF7FC6" w:rsidRPr="001A3467">
              <w:rPr>
                <w:b/>
              </w:rPr>
              <w:t>.</w:t>
            </w:r>
            <w:r>
              <w:rPr>
                <w:b/>
              </w:rPr>
              <w:t>5</w:t>
            </w:r>
            <w:r w:rsidR="00AF7FC6" w:rsidRPr="001A3467">
              <w:rPr>
                <w:b/>
              </w:rPr>
              <w:t>00,00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5D1F12A8" w14:textId="16A5710D" w:rsidR="00AF7FC6" w:rsidRPr="001A3467" w:rsidRDefault="003C0879" w:rsidP="00600BC6">
            <w:pPr>
              <w:pStyle w:val="TableParagraph"/>
              <w:ind w:left="111" w:right="38"/>
              <w:jc w:val="right"/>
              <w:rPr>
                <w:b/>
                <w:bCs/>
              </w:rPr>
            </w:pPr>
            <w:r w:rsidRPr="001A3467">
              <w:rPr>
                <w:b/>
                <w:bCs/>
              </w:rPr>
              <w:t>4</w:t>
            </w:r>
            <w:r w:rsidR="0036161F" w:rsidRPr="001A3467">
              <w:rPr>
                <w:b/>
                <w:bCs/>
              </w:rPr>
              <w:t>.</w:t>
            </w:r>
            <w:r w:rsidRPr="001A3467">
              <w:rPr>
                <w:b/>
                <w:bCs/>
              </w:rPr>
              <w:t>5</w:t>
            </w:r>
            <w:r w:rsidR="0036161F" w:rsidRPr="001A3467">
              <w:rPr>
                <w:b/>
                <w:bCs/>
              </w:rPr>
              <w:t>0</w:t>
            </w:r>
            <w:r w:rsidR="00AF7FC6" w:rsidRPr="001A3467">
              <w:rPr>
                <w:b/>
                <w:bCs/>
              </w:rPr>
              <w:t>0,00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C1BA3AE" w14:textId="317450F7" w:rsidR="00AF7FC6" w:rsidRPr="001A3467" w:rsidRDefault="002D01F9" w:rsidP="00600BC6">
            <w:pPr>
              <w:pStyle w:val="TableParagraph"/>
              <w:ind w:left="109" w:right="9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C0879" w:rsidRPr="001A3467">
              <w:rPr>
                <w:b/>
                <w:bCs/>
              </w:rPr>
              <w:t>0</w:t>
            </w:r>
            <w:r w:rsidR="00AF7FC6" w:rsidRPr="001A3467">
              <w:rPr>
                <w:b/>
                <w:bCs/>
              </w:rPr>
              <w:t>,00</w:t>
            </w:r>
          </w:p>
        </w:tc>
      </w:tr>
      <w:tr w:rsidR="002D01F9" w:rsidRPr="001A3467" w14:paraId="4E231C3F" w14:textId="77777777" w:rsidTr="002D01F9">
        <w:trPr>
          <w:trHeight w:val="69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3F2" w14:textId="1A5BC2DE" w:rsidR="002D01F9" w:rsidRPr="001A3467" w:rsidRDefault="002D01F9" w:rsidP="00060CED">
            <w:pPr>
              <w:pStyle w:val="TableParagraph"/>
              <w:ind w:left="290" w:right="280"/>
              <w:jc w:val="center"/>
              <w:rPr>
                <w:b/>
                <w:color w:val="FF0000"/>
              </w:rPr>
            </w:pPr>
            <w:r>
              <w:rPr>
                <w:b/>
              </w:rPr>
              <w:t>9</w:t>
            </w:r>
            <w:r w:rsidRPr="001A3467">
              <w:rPr>
                <w:b/>
              </w:rPr>
              <w:t>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755" w14:textId="43F6812B" w:rsidR="002D01F9" w:rsidRPr="001A3467" w:rsidRDefault="002D01F9" w:rsidP="00060CED">
            <w:pPr>
              <w:autoSpaceDE/>
              <w:rPr>
                <w:rFonts w:eastAsia="Calibri"/>
              </w:rPr>
            </w:pPr>
            <w:r>
              <w:rPr>
                <w:rFonts w:eastAsia="Calibri"/>
              </w:rPr>
              <w:t>ZGRADA ZA SMJEŠTAJ STARIJIH OSOBA U KREŠTELOVCU</w:t>
            </w:r>
          </w:p>
          <w:p w14:paraId="240131CA" w14:textId="5D0FDE08" w:rsidR="002D01F9" w:rsidRPr="001A3467" w:rsidRDefault="002D01F9" w:rsidP="00060CED">
            <w:pPr>
              <w:pStyle w:val="TableParagraph"/>
              <w:spacing w:before="1" w:line="210" w:lineRule="exact"/>
              <w:ind w:left="110"/>
            </w:pPr>
            <w:r w:rsidRPr="001A3467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bolnice, ostali zdravstvenih objekti, laboratoriji, umirovljenički domovi i centri za socijalnu skrb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A3D" w14:textId="77777777" w:rsidR="002D01F9" w:rsidRPr="001A3467" w:rsidRDefault="002D01F9" w:rsidP="00060CED">
            <w:pPr>
              <w:pStyle w:val="TableParagraph"/>
              <w:rPr>
                <w:b/>
              </w:rPr>
            </w:pPr>
          </w:p>
          <w:p w14:paraId="12C4376C" w14:textId="77777777" w:rsidR="002D01F9" w:rsidRPr="001A3467" w:rsidRDefault="002D01F9" w:rsidP="00060CED">
            <w:pPr>
              <w:pStyle w:val="TableParagraph"/>
              <w:ind w:right="92"/>
              <w:jc w:val="right"/>
            </w:pPr>
          </w:p>
          <w:p w14:paraId="0C8ED4DF" w14:textId="31915D47" w:rsidR="002D01F9" w:rsidRPr="001A3467" w:rsidRDefault="002D01F9" w:rsidP="00060CED">
            <w:pPr>
              <w:pStyle w:val="TableParagraph"/>
              <w:ind w:right="92"/>
              <w:jc w:val="right"/>
            </w:pPr>
            <w:r>
              <w:t>50</w:t>
            </w:r>
            <w:r w:rsidRPr="001A3467">
              <w:t>.000,00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00C" w14:textId="77777777" w:rsidR="002D01F9" w:rsidRPr="001A3467" w:rsidRDefault="002D01F9" w:rsidP="00060CED">
            <w:pPr>
              <w:pStyle w:val="TableParagraph"/>
              <w:ind w:right="90"/>
              <w:jc w:val="right"/>
              <w:rPr>
                <w:b/>
              </w:rPr>
            </w:pPr>
          </w:p>
          <w:p w14:paraId="50052FAC" w14:textId="77777777" w:rsidR="002D01F9" w:rsidRPr="001A3467" w:rsidRDefault="002D01F9" w:rsidP="00060CED">
            <w:pPr>
              <w:pStyle w:val="TableParagraph"/>
              <w:ind w:left="111" w:right="90"/>
              <w:jc w:val="right"/>
            </w:pPr>
          </w:p>
          <w:p w14:paraId="7202C83A" w14:textId="60C9382F" w:rsidR="002D01F9" w:rsidRPr="001A3467" w:rsidRDefault="002D01F9" w:rsidP="00060CED">
            <w:pPr>
              <w:pStyle w:val="TableParagraph"/>
              <w:ind w:left="111" w:right="90"/>
              <w:jc w:val="right"/>
            </w:pPr>
            <w:r>
              <w:t>6</w:t>
            </w:r>
            <w:r w:rsidRPr="001A3467">
              <w:t>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4BD" w14:textId="77777777" w:rsidR="002D01F9" w:rsidRPr="001A3467" w:rsidRDefault="002D01F9" w:rsidP="00060CED">
            <w:pPr>
              <w:pStyle w:val="TableParagraph"/>
              <w:ind w:right="98"/>
              <w:jc w:val="right"/>
              <w:rPr>
                <w:b/>
              </w:rPr>
            </w:pPr>
          </w:p>
          <w:p w14:paraId="7102079C" w14:textId="77777777" w:rsidR="002D01F9" w:rsidRPr="001A3467" w:rsidRDefault="002D01F9" w:rsidP="00060CED">
            <w:pPr>
              <w:pStyle w:val="TableParagraph"/>
              <w:ind w:left="108" w:right="98"/>
              <w:jc w:val="right"/>
            </w:pPr>
          </w:p>
          <w:p w14:paraId="75EADCBC" w14:textId="5C61E3B4" w:rsidR="002D01F9" w:rsidRPr="001A3467" w:rsidRDefault="002D01F9" w:rsidP="00060CED">
            <w:pPr>
              <w:pStyle w:val="TableParagraph"/>
              <w:ind w:left="108" w:right="98"/>
              <w:jc w:val="right"/>
            </w:pPr>
            <w:r>
              <w:t>1</w:t>
            </w:r>
            <w:r w:rsidRPr="001A3467">
              <w:t>,</w:t>
            </w:r>
            <w:r>
              <w:t>2</w:t>
            </w:r>
            <w:r w:rsidRPr="001A3467">
              <w:t>0</w:t>
            </w:r>
          </w:p>
        </w:tc>
      </w:tr>
      <w:tr w:rsidR="002D01F9" w:rsidRPr="001A3467" w14:paraId="5E1C3760" w14:textId="77777777" w:rsidTr="002D01F9">
        <w:trPr>
          <w:trHeight w:val="227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1C8" w14:textId="77777777" w:rsidR="002D01F9" w:rsidRPr="001A3467" w:rsidRDefault="002D01F9" w:rsidP="00060CED">
            <w:pPr>
              <w:rPr>
                <w:color w:val="FF000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7C7" w14:textId="77777777" w:rsidR="002D01F9" w:rsidRPr="001A3467" w:rsidRDefault="002D01F9" w:rsidP="00060CED">
            <w:pPr>
              <w:pStyle w:val="TableParagraph"/>
              <w:spacing w:line="208" w:lineRule="exact"/>
              <w:ind w:left="110"/>
              <w:rPr>
                <w:b/>
              </w:rPr>
            </w:pPr>
            <w:r w:rsidRPr="001A3467">
              <w:rPr>
                <w:rFonts w:eastAsia="Calibri"/>
                <w:b/>
              </w:rPr>
              <w:t>Ukupno: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A22" w14:textId="20ABAA1F" w:rsidR="002D01F9" w:rsidRPr="001A3467" w:rsidRDefault="002D01F9" w:rsidP="00060CED">
            <w:pPr>
              <w:pStyle w:val="TableParagraph"/>
              <w:spacing w:line="208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Pr="001A3467">
              <w:rPr>
                <w:b/>
              </w:rPr>
              <w:t>.000,00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FDA" w14:textId="3E88628C" w:rsidR="002D01F9" w:rsidRPr="001A3467" w:rsidRDefault="002D01F9" w:rsidP="00060CED">
            <w:pPr>
              <w:pStyle w:val="TableParagraph"/>
              <w:spacing w:line="208" w:lineRule="exact"/>
              <w:ind w:left="111" w:right="9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1A3467">
              <w:rPr>
                <w:b/>
                <w:bCs/>
              </w:rPr>
              <w:t>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C32" w14:textId="27597CA0" w:rsidR="002D01F9" w:rsidRPr="001A3467" w:rsidRDefault="002D01F9" w:rsidP="00060CED">
            <w:pPr>
              <w:pStyle w:val="TableParagraph"/>
              <w:spacing w:line="208" w:lineRule="exact"/>
              <w:ind w:left="108" w:right="9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3467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  <w:r w:rsidRPr="001A3467">
              <w:rPr>
                <w:b/>
                <w:bCs/>
              </w:rPr>
              <w:t>0</w:t>
            </w:r>
          </w:p>
        </w:tc>
      </w:tr>
      <w:tr w:rsidR="00AF7FC6" w:rsidRPr="001A3467" w14:paraId="0F3957EE" w14:textId="77777777" w:rsidTr="002D0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54"/>
        </w:trPr>
        <w:tc>
          <w:tcPr>
            <w:tcW w:w="770" w:type="dxa"/>
            <w:vMerge w:val="restart"/>
            <w:tcBorders>
              <w:top w:val="single" w:sz="4" w:space="0" w:color="auto"/>
            </w:tcBorders>
          </w:tcPr>
          <w:p w14:paraId="41D8C185" w14:textId="2ECFD4C4" w:rsidR="00AF7FC6" w:rsidRPr="001A3467" w:rsidRDefault="00AF7FC6" w:rsidP="00AF7FC6">
            <w:pPr>
              <w:pStyle w:val="TableParagraph"/>
              <w:ind w:left="258"/>
              <w:rPr>
                <w:b/>
                <w:color w:val="FF0000"/>
              </w:rPr>
            </w:pPr>
            <w:r w:rsidRPr="001A3467">
              <w:rPr>
                <w:b/>
              </w:rPr>
              <w:t xml:space="preserve"> </w:t>
            </w:r>
            <w:r w:rsidR="002D01F9">
              <w:rPr>
                <w:b/>
              </w:rPr>
              <w:t>10</w:t>
            </w:r>
            <w:r w:rsidRPr="001A3467">
              <w:rPr>
                <w:b/>
              </w:rPr>
              <w:t>.</w:t>
            </w:r>
          </w:p>
        </w:tc>
        <w:tc>
          <w:tcPr>
            <w:tcW w:w="4305" w:type="dxa"/>
            <w:tcBorders>
              <w:top w:val="single" w:sz="4" w:space="0" w:color="auto"/>
            </w:tcBorders>
          </w:tcPr>
          <w:p w14:paraId="391DE11F" w14:textId="77777777" w:rsidR="00AF7FC6" w:rsidRPr="001A3467" w:rsidRDefault="003C0879" w:rsidP="00AF7FC6">
            <w:pPr>
              <w:pStyle w:val="TableParagraph"/>
              <w:spacing w:line="209" w:lineRule="exact"/>
              <w:ind w:left="110"/>
            </w:pPr>
            <w:r w:rsidRPr="001A3467">
              <w:t>SUFINANCIRANJE RADA PEDIJATRIJSKE AMBULANTE</w:t>
            </w:r>
          </w:p>
          <w:p w14:paraId="0D327761" w14:textId="1EEF8E3D" w:rsidR="003C0879" w:rsidRPr="001A3467" w:rsidRDefault="003C0879" w:rsidP="00AF7FC6">
            <w:pPr>
              <w:pStyle w:val="TableParagraph"/>
              <w:spacing w:line="209" w:lineRule="exact"/>
              <w:ind w:left="110"/>
            </w:pPr>
            <w:r w:rsidRPr="001A3467">
              <w:t>-tekuće pomoći gradskim proračunima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661AA48F" w14:textId="77777777" w:rsidR="002D01F9" w:rsidRDefault="002D01F9" w:rsidP="002D01F9">
            <w:pPr>
              <w:pStyle w:val="TableParagraph"/>
              <w:ind w:right="92"/>
              <w:jc w:val="right"/>
            </w:pPr>
          </w:p>
          <w:p w14:paraId="641A70F8" w14:textId="1ECE32C5" w:rsidR="00AF7FC6" w:rsidRPr="001A3467" w:rsidRDefault="003C0879" w:rsidP="002D01F9">
            <w:pPr>
              <w:pStyle w:val="TableParagraph"/>
              <w:ind w:right="92"/>
              <w:jc w:val="right"/>
            </w:pPr>
            <w:r w:rsidRPr="001A3467">
              <w:t>1</w:t>
            </w:r>
            <w:r w:rsidR="00AF7FC6" w:rsidRPr="001A3467">
              <w:t>.</w:t>
            </w:r>
            <w:r w:rsidR="002D01F9">
              <w:t>8</w:t>
            </w:r>
            <w:r w:rsidR="00AF7FC6" w:rsidRPr="001A3467">
              <w:t>00,00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3FCE6CF1" w14:textId="77777777" w:rsidR="002D01F9" w:rsidRDefault="002D01F9" w:rsidP="00600BC6">
            <w:pPr>
              <w:pStyle w:val="TableParagraph"/>
              <w:ind w:left="111" w:right="38"/>
              <w:jc w:val="right"/>
            </w:pPr>
          </w:p>
          <w:p w14:paraId="656CC4CA" w14:textId="5141ED50" w:rsidR="00AF7FC6" w:rsidRPr="001A3467" w:rsidRDefault="003C0879" w:rsidP="00600BC6">
            <w:pPr>
              <w:pStyle w:val="TableParagraph"/>
              <w:ind w:left="111" w:right="38"/>
              <w:jc w:val="right"/>
            </w:pPr>
            <w:r w:rsidRPr="001A3467">
              <w:t>1.</w:t>
            </w:r>
            <w:r w:rsidR="002D01F9">
              <w:t>8</w:t>
            </w:r>
            <w:r w:rsidRPr="001A3467">
              <w:t>00,00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3BE76A6" w14:textId="77777777" w:rsidR="002D01F9" w:rsidRDefault="002D01F9" w:rsidP="00600BC6">
            <w:pPr>
              <w:pStyle w:val="TableParagraph"/>
              <w:ind w:left="109" w:right="98"/>
              <w:jc w:val="right"/>
            </w:pPr>
          </w:p>
          <w:p w14:paraId="18C66C67" w14:textId="153029C0" w:rsidR="00AF7FC6" w:rsidRPr="001A3467" w:rsidRDefault="003C0879" w:rsidP="00600BC6">
            <w:pPr>
              <w:pStyle w:val="TableParagraph"/>
              <w:ind w:left="109" w:right="98"/>
              <w:jc w:val="right"/>
            </w:pPr>
            <w:r w:rsidRPr="001A3467">
              <w:t>100,00</w:t>
            </w:r>
          </w:p>
        </w:tc>
      </w:tr>
      <w:tr w:rsidR="00AF7FC6" w:rsidRPr="001A3467" w14:paraId="57F68E3F" w14:textId="77777777" w:rsidTr="002D0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770" w:type="dxa"/>
            <w:vMerge/>
            <w:tcBorders>
              <w:top w:val="nil"/>
            </w:tcBorders>
          </w:tcPr>
          <w:p w14:paraId="25EEF4E4" w14:textId="77777777" w:rsidR="00AF7FC6" w:rsidRPr="001A3467" w:rsidRDefault="00AF7FC6" w:rsidP="00AF7FC6">
            <w:pPr>
              <w:rPr>
                <w:color w:val="FF0000"/>
              </w:rPr>
            </w:pPr>
          </w:p>
        </w:tc>
        <w:tc>
          <w:tcPr>
            <w:tcW w:w="4305" w:type="dxa"/>
          </w:tcPr>
          <w:p w14:paraId="5B35A7D7" w14:textId="77777777" w:rsidR="00AF7FC6" w:rsidRPr="001A3467" w:rsidRDefault="00AF7FC6" w:rsidP="00AF7FC6">
            <w:pPr>
              <w:pStyle w:val="TableParagraph"/>
              <w:spacing w:line="222" w:lineRule="exact"/>
              <w:ind w:left="110"/>
              <w:rPr>
                <w:b/>
              </w:rPr>
            </w:pPr>
            <w:r w:rsidRPr="001A3467">
              <w:rPr>
                <w:b/>
              </w:rPr>
              <w:t>Ukupno:</w:t>
            </w:r>
          </w:p>
        </w:tc>
        <w:tc>
          <w:tcPr>
            <w:tcW w:w="1699" w:type="dxa"/>
          </w:tcPr>
          <w:p w14:paraId="3474DB37" w14:textId="7BBDB436" w:rsidR="00AF7FC6" w:rsidRPr="001A3467" w:rsidRDefault="003C0879" w:rsidP="00AF7FC6">
            <w:pPr>
              <w:pStyle w:val="TableParagraph"/>
              <w:spacing w:line="222" w:lineRule="exact"/>
              <w:ind w:right="92"/>
              <w:jc w:val="right"/>
              <w:rPr>
                <w:b/>
              </w:rPr>
            </w:pPr>
            <w:r w:rsidRPr="001A3467">
              <w:rPr>
                <w:b/>
              </w:rPr>
              <w:t>1</w:t>
            </w:r>
            <w:r w:rsidR="00AF7FC6" w:rsidRPr="001A3467">
              <w:rPr>
                <w:b/>
              </w:rPr>
              <w:t>.</w:t>
            </w:r>
            <w:r w:rsidR="002D01F9">
              <w:rPr>
                <w:b/>
              </w:rPr>
              <w:t>8</w:t>
            </w:r>
            <w:r w:rsidR="00AF7FC6" w:rsidRPr="001A3467">
              <w:rPr>
                <w:b/>
              </w:rPr>
              <w:t>00,00</w:t>
            </w:r>
          </w:p>
        </w:tc>
        <w:tc>
          <w:tcPr>
            <w:tcW w:w="1785" w:type="dxa"/>
          </w:tcPr>
          <w:p w14:paraId="020AAD58" w14:textId="6FC9362C" w:rsidR="00AF7FC6" w:rsidRPr="001A3467" w:rsidRDefault="003C0879" w:rsidP="00600BC6">
            <w:pPr>
              <w:pStyle w:val="TableParagraph"/>
              <w:spacing w:line="222" w:lineRule="exact"/>
              <w:ind w:left="111" w:right="38"/>
              <w:jc w:val="right"/>
              <w:rPr>
                <w:b/>
                <w:bCs/>
              </w:rPr>
            </w:pPr>
            <w:r w:rsidRPr="001A3467">
              <w:rPr>
                <w:b/>
                <w:bCs/>
              </w:rPr>
              <w:t>1</w:t>
            </w:r>
            <w:r w:rsidR="00600BC6" w:rsidRPr="001A3467">
              <w:rPr>
                <w:b/>
                <w:bCs/>
              </w:rPr>
              <w:t>.</w:t>
            </w:r>
            <w:r w:rsidR="002D01F9">
              <w:rPr>
                <w:b/>
                <w:bCs/>
              </w:rPr>
              <w:t>8</w:t>
            </w:r>
            <w:r w:rsidRPr="001A3467">
              <w:rPr>
                <w:b/>
                <w:bCs/>
              </w:rPr>
              <w:t>00</w:t>
            </w:r>
            <w:r w:rsidR="00600BC6" w:rsidRPr="001A3467">
              <w:rPr>
                <w:b/>
                <w:bCs/>
              </w:rPr>
              <w:t>,</w:t>
            </w:r>
            <w:r w:rsidRPr="001A3467">
              <w:rPr>
                <w:b/>
                <w:bCs/>
              </w:rPr>
              <w:t>00</w:t>
            </w:r>
          </w:p>
        </w:tc>
        <w:tc>
          <w:tcPr>
            <w:tcW w:w="1331" w:type="dxa"/>
          </w:tcPr>
          <w:p w14:paraId="6EA8ACB5" w14:textId="3DF3A0C9" w:rsidR="00AF7FC6" w:rsidRPr="001A3467" w:rsidRDefault="003C0879" w:rsidP="00600BC6">
            <w:pPr>
              <w:pStyle w:val="TableParagraph"/>
              <w:spacing w:line="222" w:lineRule="exact"/>
              <w:ind w:left="109" w:right="98"/>
              <w:jc w:val="right"/>
              <w:rPr>
                <w:b/>
                <w:bCs/>
              </w:rPr>
            </w:pPr>
            <w:r w:rsidRPr="001A3467">
              <w:rPr>
                <w:b/>
                <w:bCs/>
              </w:rPr>
              <w:t>100,00</w:t>
            </w:r>
          </w:p>
        </w:tc>
      </w:tr>
      <w:tr w:rsidR="00AF7FC6" w:rsidRPr="001A3467" w14:paraId="6E317204" w14:textId="77777777" w:rsidTr="002D0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770" w:type="dxa"/>
          </w:tcPr>
          <w:p w14:paraId="3FF5F736" w14:textId="77777777" w:rsidR="00AF7FC6" w:rsidRPr="001A3467" w:rsidRDefault="00AF7FC6" w:rsidP="00AF7FC6">
            <w:pPr>
              <w:pStyle w:val="TableParagraph"/>
            </w:pPr>
          </w:p>
        </w:tc>
        <w:tc>
          <w:tcPr>
            <w:tcW w:w="4305" w:type="dxa"/>
          </w:tcPr>
          <w:p w14:paraId="5A19A723" w14:textId="77777777" w:rsidR="00AF7FC6" w:rsidRPr="001A3467" w:rsidRDefault="00AF7FC6" w:rsidP="00AF7FC6">
            <w:pPr>
              <w:pStyle w:val="TableParagraph"/>
              <w:ind w:left="110"/>
              <w:rPr>
                <w:b/>
              </w:rPr>
            </w:pPr>
            <w:r w:rsidRPr="001A3467">
              <w:rPr>
                <w:b/>
              </w:rPr>
              <w:t>SVEUKUPNO:</w:t>
            </w:r>
          </w:p>
        </w:tc>
        <w:tc>
          <w:tcPr>
            <w:tcW w:w="1699" w:type="dxa"/>
          </w:tcPr>
          <w:p w14:paraId="252DBF5C" w14:textId="385755DE" w:rsidR="00AF7FC6" w:rsidRPr="001A3467" w:rsidRDefault="002D01F9" w:rsidP="00AF7FC6">
            <w:pPr>
              <w:pStyle w:val="TableParagraph"/>
              <w:ind w:right="90"/>
              <w:jc w:val="right"/>
              <w:rPr>
                <w:b/>
              </w:rPr>
            </w:pPr>
            <w:r>
              <w:rPr>
                <w:b/>
              </w:rPr>
              <w:t>108</w:t>
            </w:r>
            <w:r w:rsidR="00600BC6" w:rsidRPr="001A3467">
              <w:rPr>
                <w:b/>
              </w:rPr>
              <w:t>.</w:t>
            </w:r>
            <w:r>
              <w:rPr>
                <w:b/>
              </w:rPr>
              <w:t>0</w:t>
            </w:r>
            <w:r w:rsidR="00600BC6" w:rsidRPr="001A3467">
              <w:rPr>
                <w:b/>
              </w:rPr>
              <w:t>00,00</w:t>
            </w:r>
          </w:p>
        </w:tc>
        <w:tc>
          <w:tcPr>
            <w:tcW w:w="1785" w:type="dxa"/>
          </w:tcPr>
          <w:p w14:paraId="6712F77F" w14:textId="12060230" w:rsidR="00AF7FC6" w:rsidRPr="001A3467" w:rsidRDefault="002D01F9" w:rsidP="00600BC6">
            <w:pPr>
              <w:pStyle w:val="TableParagraph"/>
              <w:ind w:left="111" w:right="38"/>
              <w:jc w:val="right"/>
              <w:rPr>
                <w:b/>
              </w:rPr>
            </w:pPr>
            <w:r>
              <w:rPr>
                <w:b/>
              </w:rPr>
              <w:t>47.810,77</w:t>
            </w:r>
          </w:p>
        </w:tc>
        <w:tc>
          <w:tcPr>
            <w:tcW w:w="1331" w:type="dxa"/>
          </w:tcPr>
          <w:p w14:paraId="5DADC37D" w14:textId="00668049" w:rsidR="00AF7FC6" w:rsidRPr="001A3467" w:rsidRDefault="002D01F9" w:rsidP="00600BC6">
            <w:pPr>
              <w:pStyle w:val="TableParagraph"/>
              <w:ind w:left="109" w:right="98"/>
              <w:jc w:val="right"/>
              <w:rPr>
                <w:b/>
              </w:rPr>
            </w:pPr>
            <w:r>
              <w:rPr>
                <w:b/>
              </w:rPr>
              <w:t>44,27</w:t>
            </w:r>
          </w:p>
        </w:tc>
      </w:tr>
    </w:tbl>
    <w:p w14:paraId="79EFFAF6" w14:textId="77777777" w:rsidR="001A23BD" w:rsidRDefault="001A23BD">
      <w:pPr>
        <w:pStyle w:val="Tijeloteksta"/>
        <w:rPr>
          <w:b/>
          <w:sz w:val="20"/>
        </w:rPr>
      </w:pPr>
    </w:p>
    <w:p w14:paraId="067BA4C9" w14:textId="77777777" w:rsidR="001A23BD" w:rsidRDefault="001A23BD">
      <w:pPr>
        <w:pStyle w:val="Tijeloteksta"/>
        <w:spacing w:before="11"/>
        <w:rPr>
          <w:b/>
          <w:sz w:val="15"/>
        </w:rPr>
      </w:pPr>
    </w:p>
    <w:p w14:paraId="506D5868" w14:textId="77777777" w:rsidR="001A23BD" w:rsidRDefault="00CD2171">
      <w:pPr>
        <w:pStyle w:val="Naslov1"/>
        <w:spacing w:before="91"/>
        <w:ind w:right="2676"/>
      </w:pPr>
      <w:r>
        <w:t>II.</w:t>
      </w:r>
    </w:p>
    <w:p w14:paraId="0DE58020" w14:textId="6F3B3EBC" w:rsidR="001A23BD" w:rsidRDefault="00CD2171">
      <w:pPr>
        <w:pStyle w:val="Tijeloteksta"/>
        <w:ind w:left="233" w:firstLine="720"/>
      </w:pPr>
      <w:r>
        <w:t>Izvršenje</w:t>
      </w:r>
      <w:r>
        <w:rPr>
          <w:spacing w:val="29"/>
        </w:rPr>
        <w:t xml:space="preserve"> </w:t>
      </w:r>
      <w:r>
        <w:t>Socijalnog</w:t>
      </w:r>
      <w:r>
        <w:rPr>
          <w:spacing w:val="30"/>
        </w:rPr>
        <w:t xml:space="preserve"> </w:t>
      </w:r>
      <w:r>
        <w:t>programa</w:t>
      </w:r>
      <w:r>
        <w:rPr>
          <w:spacing w:val="29"/>
        </w:rPr>
        <w:t xml:space="preserve"> </w:t>
      </w:r>
      <w:r>
        <w:t>Općine</w:t>
      </w:r>
      <w:r>
        <w:rPr>
          <w:spacing w:val="30"/>
        </w:rPr>
        <w:t xml:space="preserve"> </w:t>
      </w:r>
      <w:r>
        <w:t>Dežanovac</w:t>
      </w:r>
      <w:r>
        <w:rPr>
          <w:spacing w:val="29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01.01.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3</w:t>
      </w:r>
      <w:r w:rsidR="001E7FF8">
        <w:t>1</w:t>
      </w:r>
      <w:r>
        <w:t>.</w:t>
      </w:r>
      <w:r w:rsidR="001E7FF8">
        <w:t>12</w:t>
      </w:r>
      <w:r>
        <w:t>.202</w:t>
      </w:r>
      <w:r w:rsidR="002D01F9">
        <w:t>5</w:t>
      </w:r>
      <w:r>
        <w:t>.</w:t>
      </w:r>
      <w:r>
        <w:rPr>
          <w:spacing w:val="29"/>
        </w:rPr>
        <w:t xml:space="preserve"> </w:t>
      </w:r>
      <w:r>
        <w:t>godine</w:t>
      </w:r>
      <w:r>
        <w:rPr>
          <w:spacing w:val="30"/>
        </w:rPr>
        <w:t xml:space="preserve"> </w:t>
      </w:r>
      <w:r>
        <w:t>objavit</w:t>
      </w:r>
      <w:r>
        <w:rPr>
          <w:spacing w:val="28"/>
        </w:rPr>
        <w:t xml:space="preserve"> </w:t>
      </w:r>
      <w:r>
        <w:t>će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“Službenom glasniku Općine Dežanovac”.</w:t>
      </w:r>
    </w:p>
    <w:p w14:paraId="38710625" w14:textId="77777777" w:rsidR="001A23BD" w:rsidRDefault="001A23BD">
      <w:pPr>
        <w:pStyle w:val="Tijeloteksta"/>
        <w:rPr>
          <w:sz w:val="24"/>
        </w:rPr>
      </w:pPr>
    </w:p>
    <w:p w14:paraId="63058DF5" w14:textId="77777777" w:rsidR="001A23BD" w:rsidRDefault="001A23BD">
      <w:pPr>
        <w:pStyle w:val="Tijeloteksta"/>
        <w:rPr>
          <w:sz w:val="20"/>
        </w:rPr>
      </w:pPr>
    </w:p>
    <w:p w14:paraId="6723EC02" w14:textId="7E1101C3" w:rsidR="001A23BD" w:rsidRDefault="00CD2171">
      <w:pPr>
        <w:pStyle w:val="Naslov1"/>
        <w:ind w:left="5993" w:right="0"/>
        <w:jc w:val="left"/>
      </w:pPr>
      <w:r>
        <w:t>PREDSJEDNIK</w:t>
      </w:r>
      <w:r>
        <w:rPr>
          <w:spacing w:val="-2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t>VIJEĆA</w:t>
      </w:r>
      <w:r w:rsidR="00981B4D">
        <w:br/>
      </w:r>
      <w:r w:rsidR="00981B4D">
        <w:tab/>
      </w:r>
      <w:r w:rsidR="00DB3267">
        <w:t xml:space="preserve">           </w:t>
      </w:r>
      <w:r w:rsidR="00981B4D">
        <w:t>Ivan Dubravac</w:t>
      </w:r>
    </w:p>
    <w:sectPr w:rsidR="001A23BD">
      <w:pgSz w:w="11910" w:h="16840"/>
      <w:pgMar w:top="14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BD"/>
    <w:rsid w:val="00034ABF"/>
    <w:rsid w:val="001528BD"/>
    <w:rsid w:val="001A23BD"/>
    <w:rsid w:val="001A3467"/>
    <w:rsid w:val="001B53BB"/>
    <w:rsid w:val="001E7FF8"/>
    <w:rsid w:val="002D01F9"/>
    <w:rsid w:val="0036161F"/>
    <w:rsid w:val="003C0449"/>
    <w:rsid w:val="003C0879"/>
    <w:rsid w:val="004678C5"/>
    <w:rsid w:val="004C24F9"/>
    <w:rsid w:val="00505347"/>
    <w:rsid w:val="00560F09"/>
    <w:rsid w:val="00592142"/>
    <w:rsid w:val="00596654"/>
    <w:rsid w:val="005E67C8"/>
    <w:rsid w:val="00600BC6"/>
    <w:rsid w:val="0066614A"/>
    <w:rsid w:val="00697A71"/>
    <w:rsid w:val="00777641"/>
    <w:rsid w:val="0083412D"/>
    <w:rsid w:val="008816A9"/>
    <w:rsid w:val="008A794C"/>
    <w:rsid w:val="008C2F8C"/>
    <w:rsid w:val="008F6E61"/>
    <w:rsid w:val="009445FA"/>
    <w:rsid w:val="00981B4D"/>
    <w:rsid w:val="009F7D13"/>
    <w:rsid w:val="00A92BD1"/>
    <w:rsid w:val="00AF7FC6"/>
    <w:rsid w:val="00BF13D0"/>
    <w:rsid w:val="00CB3763"/>
    <w:rsid w:val="00CB44D9"/>
    <w:rsid w:val="00CD2171"/>
    <w:rsid w:val="00D87307"/>
    <w:rsid w:val="00DB3267"/>
    <w:rsid w:val="00E41A8C"/>
    <w:rsid w:val="00E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28CE"/>
  <w15:docId w15:val="{59181C12-3F86-4A28-B82C-5B2438F8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1F9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52" w:lineRule="exact"/>
      <w:ind w:left="2659" w:right="2677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z3">
    <w:name w:val="WW8Num1z3"/>
    <w:rsid w:val="00AF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Tanja Sabo</cp:lastModifiedBy>
  <cp:revision>6</cp:revision>
  <cp:lastPrinted>2025-06-24T11:26:00Z</cp:lastPrinted>
  <dcterms:created xsi:type="dcterms:W3CDTF">2026-05-06T10:08:00Z</dcterms:created>
  <dcterms:modified xsi:type="dcterms:W3CDTF">2026-05-14T09:41:00Z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2023-05-23T00:00:00Z</vt:filetime>
  </property>
</Properties>
</file>